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9C2" w:rsidRDefault="00F779C2" w:rsidP="00F779C2">
      <w:pPr>
        <w:spacing w:after="0" w:line="360" w:lineRule="auto"/>
        <w:jc w:val="both"/>
        <w:rPr>
          <w:rFonts w:ascii="Palatino Linotype" w:hAnsi="Palatino Linotype"/>
          <w:b/>
          <w:sz w:val="24"/>
          <w:szCs w:val="24"/>
        </w:rPr>
      </w:pPr>
    </w:p>
    <w:p w:rsidR="00F779C2" w:rsidRPr="00B51880" w:rsidRDefault="00F779C2" w:rsidP="00F779C2">
      <w:pPr>
        <w:spacing w:after="0" w:line="360" w:lineRule="auto"/>
        <w:jc w:val="both"/>
        <w:rPr>
          <w:rFonts w:ascii="Palatino Linotype" w:hAnsi="Palatino Linotype"/>
          <w:b/>
          <w:sz w:val="24"/>
          <w:szCs w:val="24"/>
        </w:rPr>
      </w:pPr>
      <w:r w:rsidRPr="00B51880">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242DA9">
        <w:rPr>
          <w:rFonts w:ascii="Palatino Linotype" w:hAnsi="Palatino Linotype"/>
          <w:b/>
          <w:sz w:val="24"/>
          <w:szCs w:val="24"/>
        </w:rPr>
        <w:t>CUADRA</w:t>
      </w:r>
      <w:r>
        <w:rPr>
          <w:rFonts w:ascii="Palatino Linotype" w:hAnsi="Palatino Linotype"/>
          <w:b/>
          <w:sz w:val="24"/>
          <w:szCs w:val="24"/>
        </w:rPr>
        <w:t xml:space="preserve">GÉSIMA </w:t>
      </w:r>
      <w:r w:rsidRPr="00B51880">
        <w:rPr>
          <w:rFonts w:ascii="Palatino Linotype" w:hAnsi="Palatino Linotype"/>
          <w:b/>
          <w:sz w:val="24"/>
          <w:szCs w:val="24"/>
        </w:rPr>
        <w:t xml:space="preserve">SESIÓN ORDINARIA DEL </w:t>
      </w:r>
      <w:r w:rsidR="00242DA9">
        <w:rPr>
          <w:rFonts w:ascii="Palatino Linotype" w:hAnsi="Palatino Linotype"/>
          <w:b/>
          <w:sz w:val="24"/>
          <w:szCs w:val="24"/>
        </w:rPr>
        <w:t xml:space="preserve">TREINTA Y UNO DE OCTUBRE </w:t>
      </w:r>
      <w:r>
        <w:rPr>
          <w:rFonts w:ascii="Palatino Linotype" w:hAnsi="Palatino Linotype"/>
          <w:b/>
          <w:sz w:val="24"/>
          <w:szCs w:val="24"/>
        </w:rPr>
        <w:t xml:space="preserve">DE </w:t>
      </w:r>
      <w:r w:rsidRPr="00B51880">
        <w:rPr>
          <w:rFonts w:ascii="Palatino Linotype" w:hAnsi="Palatino Linotype"/>
          <w:b/>
          <w:sz w:val="24"/>
          <w:szCs w:val="24"/>
        </w:rPr>
        <w:t>DOS MIL DIECI</w:t>
      </w:r>
      <w:r>
        <w:rPr>
          <w:rFonts w:ascii="Palatino Linotype" w:hAnsi="Palatino Linotype"/>
          <w:b/>
          <w:sz w:val="24"/>
          <w:szCs w:val="24"/>
        </w:rPr>
        <w:t>OCHO</w:t>
      </w:r>
      <w:r w:rsidRPr="00B51880">
        <w:rPr>
          <w:rFonts w:ascii="Palatino Linotype" w:hAnsi="Palatino Linotype"/>
          <w:b/>
          <w:sz w:val="24"/>
          <w:szCs w:val="24"/>
        </w:rPr>
        <w:t xml:space="preserve">, EN EL RECURSO DE REVISIÓN </w:t>
      </w:r>
      <w:r w:rsidRPr="00B51880">
        <w:rPr>
          <w:rFonts w:ascii="Palatino Linotype" w:hAnsi="Palatino Linotype"/>
          <w:b/>
          <w:sz w:val="24"/>
          <w:szCs w:val="24"/>
          <w:lang w:val="es-ES_tradnl"/>
        </w:rPr>
        <w:t>0</w:t>
      </w:r>
      <w:r w:rsidR="00242DA9">
        <w:rPr>
          <w:rFonts w:ascii="Palatino Linotype" w:hAnsi="Palatino Linotype"/>
          <w:b/>
          <w:sz w:val="24"/>
          <w:szCs w:val="24"/>
          <w:lang w:val="es-ES_tradnl"/>
        </w:rPr>
        <w:t>3431</w:t>
      </w:r>
      <w:r w:rsidRPr="00B51880">
        <w:rPr>
          <w:rFonts w:ascii="Palatino Linotype" w:hAnsi="Palatino Linotype"/>
          <w:b/>
          <w:sz w:val="24"/>
          <w:szCs w:val="24"/>
          <w:lang w:val="es-ES_tradnl"/>
        </w:rPr>
        <w:t>/INFOEM/IP/RR/201</w:t>
      </w:r>
      <w:r>
        <w:rPr>
          <w:rFonts w:ascii="Palatino Linotype" w:hAnsi="Palatino Linotype"/>
          <w:b/>
          <w:sz w:val="24"/>
          <w:szCs w:val="24"/>
          <w:lang w:val="es-ES_tradnl"/>
        </w:rPr>
        <w:t>8.</w:t>
      </w:r>
    </w:p>
    <w:p w:rsidR="00F779C2" w:rsidRPr="00962155" w:rsidRDefault="00F779C2" w:rsidP="00F779C2">
      <w:pPr>
        <w:spacing w:after="0" w:line="360" w:lineRule="auto"/>
        <w:jc w:val="both"/>
        <w:rPr>
          <w:rFonts w:ascii="Palatino Linotype" w:hAnsi="Palatino Linotype"/>
          <w:sz w:val="16"/>
          <w:szCs w:val="16"/>
        </w:rPr>
      </w:pPr>
    </w:p>
    <w:p w:rsidR="00F779C2" w:rsidRPr="005E7F58" w:rsidRDefault="00F779C2" w:rsidP="00F779C2">
      <w:pPr>
        <w:spacing w:after="0" w:line="360" w:lineRule="auto"/>
        <w:jc w:val="both"/>
        <w:rPr>
          <w:rFonts w:ascii="Palatino Linotype" w:hAnsi="Palatino Linotype"/>
          <w:sz w:val="24"/>
          <w:szCs w:val="24"/>
        </w:rPr>
      </w:pPr>
      <w:r w:rsidRPr="005E7F58">
        <w:rPr>
          <w:rFonts w:ascii="Palatino Linotype" w:hAnsi="Palatino Linotype"/>
          <w:sz w:val="24"/>
          <w:szCs w:val="24"/>
        </w:rPr>
        <w:t>Con fundamento e</w:t>
      </w:r>
      <w:bookmarkStart w:id="0" w:name="_GoBack"/>
      <w:bookmarkEnd w:id="0"/>
      <w:r w:rsidRPr="005E7F58">
        <w:rPr>
          <w:rFonts w:ascii="Palatino Linotype" w:hAnsi="Palatino Linotype"/>
          <w:sz w:val="24"/>
          <w:szCs w:val="24"/>
        </w:rPr>
        <w:t xml:space="preserve">n lo dispuesto por el artículo 14, fracciones X y XI, del Reglamento del Instituto de Transparencia, Acceso a la Información Pública y Protección de Datos Personales del Estado de México, el Comisionado Javier Martínez Cruz emite </w:t>
      </w:r>
      <w:r w:rsidRPr="005E7F58">
        <w:rPr>
          <w:rFonts w:ascii="Palatino Linotype" w:hAnsi="Palatino Linotype"/>
          <w:b/>
          <w:sz w:val="24"/>
          <w:szCs w:val="24"/>
        </w:rPr>
        <w:t>VOTO PARTICULAR</w:t>
      </w:r>
      <w:r w:rsidRPr="005E7F58">
        <w:rPr>
          <w:rFonts w:ascii="Palatino Linotype" w:hAnsi="Palatino Linotype"/>
          <w:sz w:val="24"/>
          <w:szCs w:val="24"/>
        </w:rPr>
        <w:t xml:space="preserve"> respecto a la resolución dictada en el recurso de revisión número </w:t>
      </w:r>
      <w:r w:rsidRPr="005E7F58">
        <w:rPr>
          <w:rFonts w:ascii="Palatino Linotype" w:hAnsi="Palatino Linotype"/>
          <w:b/>
          <w:sz w:val="24"/>
          <w:szCs w:val="24"/>
          <w:lang w:val="es-ES_tradnl"/>
        </w:rPr>
        <w:t>0</w:t>
      </w:r>
      <w:r w:rsidR="00242DA9">
        <w:rPr>
          <w:rFonts w:ascii="Palatino Linotype" w:hAnsi="Palatino Linotype"/>
          <w:b/>
          <w:sz w:val="24"/>
          <w:szCs w:val="24"/>
          <w:lang w:val="es-ES_tradnl"/>
        </w:rPr>
        <w:t>3431</w:t>
      </w:r>
      <w:r w:rsidRPr="005E7F58">
        <w:rPr>
          <w:rFonts w:ascii="Palatino Linotype" w:hAnsi="Palatino Linotype"/>
          <w:b/>
          <w:sz w:val="24"/>
          <w:szCs w:val="24"/>
          <w:lang w:val="es-ES_tradnl"/>
        </w:rPr>
        <w:t>/INFOEM/IP/RR/201</w:t>
      </w:r>
      <w:r>
        <w:rPr>
          <w:rFonts w:ascii="Palatino Linotype" w:hAnsi="Palatino Linotype"/>
          <w:b/>
          <w:sz w:val="24"/>
          <w:szCs w:val="24"/>
          <w:lang w:val="es-ES_tradnl"/>
        </w:rPr>
        <w:t>8</w:t>
      </w:r>
      <w:r w:rsidRPr="005E7F58">
        <w:rPr>
          <w:rFonts w:ascii="Palatino Linotype" w:hAnsi="Palatino Linotype"/>
          <w:b/>
          <w:sz w:val="24"/>
          <w:szCs w:val="24"/>
          <w:lang w:val="es-ES_tradnl"/>
        </w:rPr>
        <w:t xml:space="preserve"> </w:t>
      </w:r>
      <w:r w:rsidRPr="005E7F58">
        <w:rPr>
          <w:rFonts w:ascii="Palatino Linotype" w:hAnsi="Palatino Linotype"/>
          <w:sz w:val="24"/>
          <w:szCs w:val="24"/>
          <w:lang w:val="es-ES_tradnl"/>
        </w:rPr>
        <w:t>p</w:t>
      </w:r>
      <w:r w:rsidRPr="005E7F58">
        <w:rPr>
          <w:rFonts w:ascii="Palatino Linotype" w:hAnsi="Palatino Linotype"/>
          <w:sz w:val="24"/>
          <w:szCs w:val="24"/>
        </w:rPr>
        <w:t>ronunciada por el Pleno de este Instituto an</w:t>
      </w:r>
      <w:r>
        <w:rPr>
          <w:rFonts w:ascii="Palatino Linotype" w:hAnsi="Palatino Linotype"/>
          <w:sz w:val="24"/>
          <w:szCs w:val="24"/>
        </w:rPr>
        <w:t>te el proyecto presentado por el</w:t>
      </w:r>
      <w:r w:rsidRPr="005E7F58">
        <w:rPr>
          <w:rFonts w:ascii="Palatino Linotype" w:hAnsi="Palatino Linotype"/>
          <w:sz w:val="24"/>
          <w:szCs w:val="24"/>
        </w:rPr>
        <w:t xml:space="preserve"> Comisionad</w:t>
      </w:r>
      <w:r>
        <w:rPr>
          <w:rFonts w:ascii="Palatino Linotype" w:hAnsi="Palatino Linotype"/>
          <w:sz w:val="24"/>
          <w:szCs w:val="24"/>
        </w:rPr>
        <w:t xml:space="preserve">o </w:t>
      </w:r>
      <w:r w:rsidR="00242DA9">
        <w:rPr>
          <w:rFonts w:ascii="Palatino Linotype" w:hAnsi="Palatino Linotype"/>
          <w:b/>
          <w:sz w:val="24"/>
          <w:szCs w:val="24"/>
          <w:lang w:val="es-ES_tradnl"/>
        </w:rPr>
        <w:t>Luis Gustavo Parra Noriega</w:t>
      </w:r>
      <w:r w:rsidRPr="005E7F58">
        <w:rPr>
          <w:rFonts w:ascii="Palatino Linotype" w:hAnsi="Palatino Linotype"/>
          <w:sz w:val="24"/>
          <w:szCs w:val="24"/>
        </w:rPr>
        <w:t xml:space="preserve">, que es del tenor siguiente: </w:t>
      </w:r>
    </w:p>
    <w:p w:rsidR="00596A30" w:rsidRDefault="00F779C2" w:rsidP="00F779C2">
      <w:pPr>
        <w:tabs>
          <w:tab w:val="left" w:pos="709"/>
        </w:tabs>
        <w:spacing w:before="240" w:line="360" w:lineRule="auto"/>
        <w:ind w:right="51"/>
        <w:jc w:val="both"/>
        <w:rPr>
          <w:rFonts w:ascii="Palatino Linotype" w:hAnsi="Palatino Linotype"/>
          <w:sz w:val="24"/>
          <w:szCs w:val="24"/>
        </w:rPr>
      </w:pPr>
      <w:r w:rsidRPr="00C21974">
        <w:rPr>
          <w:rFonts w:ascii="Palatino Linotype" w:hAnsi="Palatino Linotype"/>
          <w:sz w:val="24"/>
          <w:szCs w:val="24"/>
        </w:rPr>
        <w:t xml:space="preserve">De la solicitud de información </w:t>
      </w:r>
      <w:r w:rsidR="00242DA9" w:rsidRPr="00242DA9">
        <w:rPr>
          <w:rFonts w:ascii="Palatino Linotype" w:hAnsi="Palatino Linotype"/>
          <w:b/>
          <w:bCs/>
          <w:sz w:val="24"/>
          <w:szCs w:val="24"/>
        </w:rPr>
        <w:t>00415/SF/IP/2018</w:t>
      </w:r>
      <w:r w:rsidRPr="00C21974">
        <w:rPr>
          <w:rFonts w:ascii="Palatino Linotype" w:hAnsi="Palatino Linotype"/>
          <w:sz w:val="24"/>
          <w:szCs w:val="24"/>
        </w:rPr>
        <w:t xml:space="preserve"> destaca que el particular requirió </w:t>
      </w:r>
      <w:r w:rsidR="00596A30">
        <w:rPr>
          <w:rFonts w:ascii="Palatino Linotype" w:hAnsi="Palatino Linotype"/>
          <w:sz w:val="24"/>
          <w:szCs w:val="24"/>
        </w:rPr>
        <w:t>que la Secretaría de Finanzas le proporcionara lo siguiente:</w:t>
      </w:r>
    </w:p>
    <w:p w:rsidR="00596A30" w:rsidRPr="00596A30" w:rsidRDefault="00F779C2" w:rsidP="00596A30">
      <w:pPr>
        <w:tabs>
          <w:tab w:val="left" w:pos="709"/>
        </w:tabs>
        <w:spacing w:after="0" w:line="240" w:lineRule="auto"/>
        <w:ind w:left="851" w:right="851"/>
        <w:jc w:val="both"/>
        <w:rPr>
          <w:rFonts w:ascii="Palatino Linotype" w:hAnsi="Palatino Linotype"/>
          <w:i/>
          <w:sz w:val="24"/>
          <w:szCs w:val="24"/>
        </w:rPr>
      </w:pPr>
      <w:r w:rsidRPr="009C4D4A">
        <w:rPr>
          <w:rFonts w:ascii="Palatino Linotype" w:eastAsia="Times New Roman" w:hAnsi="Palatino Linotype" w:cs="Times New Roman"/>
          <w:i/>
          <w:sz w:val="24"/>
          <w:szCs w:val="24"/>
          <w:lang w:val="es-ES_tradnl" w:eastAsia="es-ES"/>
        </w:rPr>
        <w:t>“</w:t>
      </w:r>
      <w:r w:rsidR="00596A30" w:rsidRPr="00596A30">
        <w:rPr>
          <w:rFonts w:ascii="Palatino Linotype" w:hAnsi="Palatino Linotype"/>
          <w:i/>
          <w:color w:val="000000"/>
          <w:sz w:val="24"/>
          <w:szCs w:val="24"/>
        </w:rPr>
        <w:t>De la Subdureccion de Escalafon, solicito la expresion documental, en cualquier forma, sobre los instrumentos de evaluacion empleados hacia los servidores publicos que concursan por una plaza en el sistema escalafonario</w:t>
      </w:r>
      <w:r w:rsidRPr="009C4D4A">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ES_tradnl" w:eastAsia="es-ES"/>
        </w:rPr>
        <w:t>.</w:t>
      </w:r>
    </w:p>
    <w:p w:rsidR="00F779C2" w:rsidRPr="00596A30" w:rsidRDefault="00F779C2" w:rsidP="00596A30">
      <w:pPr>
        <w:spacing w:before="120" w:after="120" w:line="360" w:lineRule="auto"/>
        <w:jc w:val="both"/>
        <w:rPr>
          <w:rFonts w:ascii="Palatino Linotype" w:hAnsi="Palatino Linotype" w:cs="Arial"/>
          <w:sz w:val="24"/>
          <w:szCs w:val="24"/>
          <w:lang w:val="es-ES"/>
        </w:rPr>
      </w:pPr>
      <w:r w:rsidRPr="009C4D4A">
        <w:rPr>
          <w:rFonts w:ascii="Palatino Linotype" w:hAnsi="Palatino Linotype" w:cs="Arial"/>
          <w:sz w:val="24"/>
          <w:szCs w:val="24"/>
          <w:lang w:val="es-ES"/>
        </w:rPr>
        <w:lastRenderedPageBreak/>
        <w:t>En respuesta, el Sujeto Obligado</w:t>
      </w:r>
      <w:r>
        <w:rPr>
          <w:rFonts w:ascii="Palatino Linotype" w:hAnsi="Palatino Linotype" w:cs="Arial"/>
          <w:sz w:val="24"/>
          <w:szCs w:val="24"/>
          <w:lang w:val="es-ES"/>
        </w:rPr>
        <w:t xml:space="preserve"> refirió </w:t>
      </w:r>
      <w:r w:rsidR="00596A30">
        <w:rPr>
          <w:rFonts w:ascii="Palatino Linotype" w:hAnsi="Palatino Linotype" w:cs="Arial"/>
          <w:sz w:val="24"/>
          <w:szCs w:val="24"/>
          <w:lang w:val="es-ES"/>
        </w:rPr>
        <w:t xml:space="preserve">mediante el </w:t>
      </w:r>
      <w:r w:rsidR="00596A30" w:rsidRPr="00596A30">
        <w:rPr>
          <w:rFonts w:ascii="Palatino Linotype" w:hAnsi="Palatino Linotype" w:cs="Arial"/>
          <w:sz w:val="24"/>
          <w:szCs w:val="24"/>
          <w:lang w:val="es-ES"/>
        </w:rPr>
        <w:t xml:space="preserve">oficio 203410200-239/2018, emitido por el Servidor Público Habilitado de la Dirección General de Personal, en </w:t>
      </w:r>
      <w:r w:rsidR="00596A30">
        <w:rPr>
          <w:rFonts w:ascii="Palatino Linotype" w:hAnsi="Palatino Linotype" w:cs="Arial"/>
          <w:sz w:val="24"/>
          <w:szCs w:val="24"/>
          <w:lang w:val="es-ES"/>
        </w:rPr>
        <w:t xml:space="preserve">términos que </w:t>
      </w:r>
      <w:r w:rsidR="00596A30" w:rsidRPr="00596A30">
        <w:rPr>
          <w:rFonts w:ascii="Palatino Linotype" w:hAnsi="Palatino Linotype" w:cs="Arial"/>
          <w:b/>
          <w:sz w:val="24"/>
          <w:szCs w:val="24"/>
          <w:u w:val="single"/>
          <w:lang w:val="es-ES"/>
        </w:rPr>
        <w:t>los instrumentos de evaluación que se aplican a los servidores públicos que concursan por una plaza en el sistema escalafonario es información de uso exclusivo de la Subdirección de Escalafón y de entregarse representaría un riesgo a la efectividad del procedimiento de evaluación</w:t>
      </w:r>
      <w:r w:rsidR="00596A30" w:rsidRPr="00596A30">
        <w:rPr>
          <w:rFonts w:ascii="Palatino Linotype" w:hAnsi="Palatino Linotype" w:cs="Arial"/>
          <w:sz w:val="24"/>
          <w:szCs w:val="24"/>
          <w:lang w:val="es-ES"/>
        </w:rPr>
        <w:t>, en razón de que estas pruebas representan para los servidores públicos evaluadores un medio para determinar la viabilidad o no viabilidad de un aspirante a ocupar una plaza a través de concurso escalafonario.</w:t>
      </w:r>
    </w:p>
    <w:p w:rsidR="00596A30" w:rsidRDefault="00F779C2" w:rsidP="00F779C2">
      <w:pPr>
        <w:spacing w:before="120" w:line="360" w:lineRule="auto"/>
        <w:jc w:val="both"/>
        <w:rPr>
          <w:rFonts w:ascii="Palatino Linotype" w:hAnsi="Palatino Linotype" w:cs="Arial"/>
          <w:sz w:val="24"/>
          <w:szCs w:val="24"/>
          <w:lang w:val="es-ES_tradnl"/>
        </w:rPr>
      </w:pPr>
      <w:r w:rsidRPr="00B51880">
        <w:rPr>
          <w:rFonts w:ascii="Palatino Linotype" w:hAnsi="Palatino Linotype"/>
          <w:sz w:val="24"/>
          <w:szCs w:val="24"/>
        </w:rPr>
        <w:t>Inconforme</w:t>
      </w:r>
      <w:r w:rsidR="00596A30">
        <w:rPr>
          <w:rFonts w:ascii="Palatino Linotype" w:hAnsi="Palatino Linotype"/>
          <w:sz w:val="24"/>
          <w:szCs w:val="24"/>
        </w:rPr>
        <w:t xml:space="preserve"> con la respuesta</w:t>
      </w:r>
      <w:r w:rsidRPr="00B51880">
        <w:rPr>
          <w:rFonts w:ascii="Palatino Linotype" w:hAnsi="Palatino Linotype" w:cs="Arial"/>
          <w:sz w:val="24"/>
          <w:szCs w:val="24"/>
          <w:lang w:val="es-ES_tradnl"/>
        </w:rPr>
        <w:t>,</w:t>
      </w:r>
      <w:r>
        <w:rPr>
          <w:rFonts w:ascii="Palatino Linotype" w:hAnsi="Palatino Linotype" w:cs="Arial"/>
          <w:sz w:val="24"/>
          <w:szCs w:val="24"/>
          <w:lang w:val="es-ES_tradnl"/>
        </w:rPr>
        <w:t xml:space="preserve"> el </w:t>
      </w:r>
      <w:r>
        <w:rPr>
          <w:rFonts w:ascii="Palatino Linotype" w:hAnsi="Palatino Linotype" w:cs="Arial"/>
          <w:color w:val="000000"/>
          <w:sz w:val="24"/>
          <w:szCs w:val="24"/>
          <w:lang w:eastAsia="es-MX"/>
        </w:rPr>
        <w:t>R</w:t>
      </w:r>
      <w:r w:rsidRPr="00B51880">
        <w:rPr>
          <w:rFonts w:ascii="Palatino Linotype" w:hAnsi="Palatino Linotype" w:cs="Arial"/>
          <w:color w:val="000000"/>
          <w:sz w:val="24"/>
          <w:szCs w:val="24"/>
          <w:lang w:eastAsia="es-MX"/>
        </w:rPr>
        <w:t>ecurrente</w:t>
      </w:r>
      <w:r w:rsidRPr="00B51880">
        <w:rPr>
          <w:rFonts w:ascii="Palatino Linotype" w:hAnsi="Palatino Linotype" w:cs="Arial"/>
          <w:sz w:val="24"/>
          <w:szCs w:val="24"/>
          <w:lang w:val="es-ES_tradnl"/>
        </w:rPr>
        <w:t xml:space="preserve"> int</w:t>
      </w:r>
      <w:r>
        <w:rPr>
          <w:rFonts w:ascii="Palatino Linotype" w:hAnsi="Palatino Linotype" w:cs="Arial"/>
          <w:sz w:val="24"/>
          <w:szCs w:val="24"/>
          <w:lang w:val="es-ES_tradnl"/>
        </w:rPr>
        <w:t xml:space="preserve">erpuso el medio de impugnación </w:t>
      </w:r>
      <w:r w:rsidRPr="00B51880">
        <w:rPr>
          <w:rFonts w:ascii="Palatino Linotype" w:hAnsi="Palatino Linotype" w:cs="Arial"/>
          <w:sz w:val="24"/>
          <w:szCs w:val="24"/>
          <w:lang w:val="es-ES_tradnl"/>
        </w:rPr>
        <w:t xml:space="preserve">materia de análisis, en </w:t>
      </w:r>
      <w:r>
        <w:rPr>
          <w:rFonts w:ascii="Palatino Linotype" w:hAnsi="Palatino Linotype" w:cs="Arial"/>
          <w:sz w:val="24"/>
          <w:szCs w:val="24"/>
          <w:lang w:val="es-ES_tradnl"/>
        </w:rPr>
        <w:t xml:space="preserve">el </w:t>
      </w:r>
      <w:r w:rsidRPr="00B51880">
        <w:rPr>
          <w:rFonts w:ascii="Palatino Linotype" w:hAnsi="Palatino Linotype" w:cs="Arial"/>
          <w:sz w:val="24"/>
          <w:szCs w:val="24"/>
          <w:lang w:val="es-ES_tradnl"/>
        </w:rPr>
        <w:t xml:space="preserve">que precisó </w:t>
      </w:r>
      <w:r>
        <w:rPr>
          <w:rFonts w:ascii="Palatino Linotype" w:hAnsi="Palatino Linotype" w:cs="Arial"/>
          <w:sz w:val="24"/>
          <w:szCs w:val="24"/>
          <w:lang w:val="es-ES_tradnl"/>
        </w:rPr>
        <w:t xml:space="preserve">como </w:t>
      </w:r>
      <w:r w:rsidRPr="00C21974">
        <w:rPr>
          <w:rFonts w:ascii="Palatino Linotype" w:hAnsi="Palatino Linotype" w:cs="Arial"/>
          <w:b/>
          <w:sz w:val="24"/>
          <w:szCs w:val="24"/>
          <w:lang w:val="es-ES_tradnl"/>
        </w:rPr>
        <w:t>acto impugnado</w:t>
      </w:r>
      <w:r>
        <w:rPr>
          <w:rFonts w:ascii="Palatino Linotype" w:hAnsi="Palatino Linotype" w:cs="Arial"/>
          <w:b/>
          <w:sz w:val="24"/>
          <w:szCs w:val="24"/>
          <w:lang w:val="es-ES_tradnl"/>
        </w:rPr>
        <w:t xml:space="preserve"> </w:t>
      </w:r>
      <w:r w:rsidRPr="009C4D4A">
        <w:rPr>
          <w:rFonts w:ascii="Palatino Linotype" w:hAnsi="Palatino Linotype" w:cs="Arial"/>
          <w:i/>
          <w:sz w:val="24"/>
          <w:szCs w:val="24"/>
          <w:lang w:val="es-ES_tradnl"/>
        </w:rPr>
        <w:t>“</w:t>
      </w:r>
      <w:r w:rsidR="00596A30" w:rsidRPr="00596A30">
        <w:rPr>
          <w:rFonts w:ascii="Palatino Linotype" w:hAnsi="Palatino Linotype" w:cs="Arial"/>
          <w:i/>
          <w:sz w:val="24"/>
          <w:szCs w:val="24"/>
        </w:rPr>
        <w:t>La respuesta del.sujeto obligado</w:t>
      </w:r>
      <w:r w:rsidRPr="009C4D4A">
        <w:rPr>
          <w:rFonts w:ascii="Palatino Linotype" w:hAnsi="Palatino Linotype" w:cs="Arial"/>
          <w:i/>
          <w:sz w:val="24"/>
          <w:szCs w:val="24"/>
          <w:lang w:val="es-ES_tradnl"/>
        </w:rPr>
        <w:t>”</w:t>
      </w:r>
      <w:r>
        <w:rPr>
          <w:rFonts w:ascii="Palatino Linotype" w:hAnsi="Palatino Linotype" w:cs="Arial"/>
          <w:sz w:val="24"/>
          <w:szCs w:val="24"/>
          <w:lang w:val="es-ES_tradnl"/>
        </w:rPr>
        <w:t xml:space="preserve"> y como </w:t>
      </w:r>
      <w:r w:rsidRPr="00587E6C">
        <w:rPr>
          <w:rFonts w:ascii="Palatino Linotype" w:hAnsi="Palatino Linotype" w:cs="Arial"/>
          <w:b/>
          <w:sz w:val="24"/>
          <w:szCs w:val="24"/>
          <w:lang w:val="es-ES_tradnl"/>
        </w:rPr>
        <w:t>motivos de inconformidad</w:t>
      </w:r>
      <w:r>
        <w:rPr>
          <w:rFonts w:ascii="Palatino Linotype" w:hAnsi="Palatino Linotype" w:cs="Arial"/>
          <w:sz w:val="24"/>
          <w:szCs w:val="24"/>
          <w:lang w:val="es-ES_tradnl"/>
        </w:rPr>
        <w:t xml:space="preserve"> arguyó que </w:t>
      </w:r>
      <w:r w:rsidRPr="009C4D4A">
        <w:rPr>
          <w:rFonts w:ascii="Palatino Linotype" w:hAnsi="Palatino Linotype" w:cs="Arial"/>
          <w:i/>
          <w:sz w:val="24"/>
          <w:szCs w:val="24"/>
          <w:lang w:val="es-ES_tradnl"/>
        </w:rPr>
        <w:t>“</w:t>
      </w:r>
      <w:r w:rsidR="00596A30" w:rsidRPr="00596A30">
        <w:rPr>
          <w:rFonts w:ascii="Palatino Linotype" w:hAnsi="Palatino Linotype" w:cs="Arial"/>
          <w:i/>
          <w:sz w:val="24"/>
          <w:szCs w:val="24"/>
        </w:rPr>
        <w:t>No entrega la expresion documental de la información que se le requiere</w:t>
      </w:r>
      <w:r w:rsidRPr="009C4D4A">
        <w:rPr>
          <w:rFonts w:ascii="Palatino Linotype" w:hAnsi="Palatino Linotype" w:cs="Arial"/>
          <w:i/>
          <w:sz w:val="24"/>
          <w:szCs w:val="24"/>
          <w:lang w:val="es-ES_tradnl"/>
        </w:rPr>
        <w:t>”</w:t>
      </w:r>
      <w:r w:rsidR="00596A30">
        <w:rPr>
          <w:rFonts w:ascii="Palatino Linotype" w:hAnsi="Palatino Linotype" w:cs="Arial"/>
          <w:sz w:val="24"/>
          <w:szCs w:val="24"/>
          <w:lang w:val="es-ES_tradnl"/>
        </w:rPr>
        <w:t>.</w:t>
      </w:r>
    </w:p>
    <w:p w:rsidR="007E3056" w:rsidRDefault="00596A30" w:rsidP="007E3056">
      <w:pPr>
        <w:spacing w:before="12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En este sentido es de suma importancia mencionar que del análisis realizado a las constancias que integran el recurso de revisión al rubro indicado se aprecia que en fecha uno de octubre del presente año el Sujeto Obligado adjuntó los archivos electrónicos siguientes:</w:t>
      </w:r>
    </w:p>
    <w:p w:rsidR="007E3056" w:rsidRPr="007E3056" w:rsidRDefault="007E3056" w:rsidP="006333D8">
      <w:pPr>
        <w:pStyle w:val="Prrafodelista"/>
        <w:numPr>
          <w:ilvl w:val="0"/>
          <w:numId w:val="6"/>
        </w:numPr>
        <w:spacing w:line="360" w:lineRule="auto"/>
        <w:jc w:val="both"/>
        <w:rPr>
          <w:rFonts w:ascii="Palatino Linotype" w:eastAsia="Times New Roman" w:hAnsi="Palatino Linotype" w:cs="Arial"/>
          <w:sz w:val="22"/>
          <w:szCs w:val="22"/>
          <w:lang w:val="es-MX" w:eastAsia="es-MX"/>
        </w:rPr>
      </w:pPr>
      <w:r w:rsidRPr="007E3056">
        <w:rPr>
          <w:rFonts w:ascii="Palatino Linotype" w:hAnsi="Palatino Linotype" w:cs="Arial"/>
          <w:sz w:val="22"/>
          <w:szCs w:val="22"/>
          <w:lang w:val="es-ES_tradnl"/>
        </w:rPr>
        <w:t xml:space="preserve">Archivo </w:t>
      </w:r>
      <w:hyperlink r:id="rId7" w:history="1">
        <w:r w:rsidRPr="007E3056">
          <w:rPr>
            <w:rFonts w:ascii="Palatino Linotype" w:eastAsia="Times New Roman" w:hAnsi="Palatino Linotype" w:cs="Arial"/>
            <w:b/>
            <w:bCs/>
            <w:color w:val="67C19D"/>
            <w:sz w:val="22"/>
            <w:szCs w:val="22"/>
            <w:lang w:eastAsia="es-MX"/>
          </w:rPr>
          <w:t>0249 DGP.pdf</w:t>
        </w:r>
      </w:hyperlink>
      <w:r>
        <w:rPr>
          <w:rFonts w:ascii="Palatino Linotype" w:eastAsia="Times New Roman" w:hAnsi="Palatino Linotype" w:cs="Arial"/>
          <w:sz w:val="22"/>
          <w:szCs w:val="22"/>
          <w:lang w:eastAsia="es-MX"/>
        </w:rPr>
        <w:t xml:space="preserve"> contiene el oficio número 203410200-249/2018 por medio del cual el servidor público habilitado de la Dirección General de Personal de la Secretaría de Finanzas le solicita al Titular de la Unidad de Transparencia con fundamento en los artículos 59 fracciones I, II y III, 140 fracción VII de la Ley de </w:t>
      </w:r>
      <w:r>
        <w:rPr>
          <w:rFonts w:ascii="Palatino Linotype" w:eastAsia="Times New Roman" w:hAnsi="Palatino Linotype" w:cs="Arial"/>
          <w:sz w:val="22"/>
          <w:szCs w:val="22"/>
          <w:lang w:eastAsia="es-MX"/>
        </w:rPr>
        <w:lastRenderedPageBreak/>
        <w:t>Transparencia que clasificara como reservada la información materia del presente asunto, en razón de que los reactivos que contienen estos instrumentos</w:t>
      </w:r>
      <w:r w:rsidR="0063015D">
        <w:rPr>
          <w:rFonts w:ascii="Palatino Linotype" w:eastAsia="Times New Roman" w:hAnsi="Palatino Linotype" w:cs="Arial"/>
          <w:sz w:val="22"/>
          <w:szCs w:val="22"/>
          <w:lang w:eastAsia="es-MX"/>
        </w:rPr>
        <w:t xml:space="preserve"> de evaluación son elaborados para medir la idoneidad de un servidor público para ocupar el puesto vacante que se está convocando, por lo que de entregarse, representaría un riesgo a la efectividad del procedimiento de evaluación y se estaría poniendo en peligro el proceso deliberativo de los concursos escalafonarios, del mismo modo contiene la prueba de daño.</w:t>
      </w:r>
    </w:p>
    <w:p w:rsidR="0063015D" w:rsidRDefault="007E3056" w:rsidP="006333D8">
      <w:pPr>
        <w:pStyle w:val="Prrafodelista"/>
        <w:numPr>
          <w:ilvl w:val="0"/>
          <w:numId w:val="6"/>
        </w:numPr>
        <w:spacing w:line="360" w:lineRule="auto"/>
        <w:jc w:val="both"/>
        <w:rPr>
          <w:rFonts w:ascii="Palatino Linotype" w:hAnsi="Palatino Linotype"/>
          <w:sz w:val="22"/>
          <w:szCs w:val="22"/>
        </w:rPr>
      </w:pPr>
      <w:r w:rsidRPr="0063015D">
        <w:rPr>
          <w:rFonts w:ascii="Palatino Linotype" w:eastAsia="Times New Roman" w:hAnsi="Palatino Linotype" w:cs="Arial"/>
          <w:sz w:val="22"/>
          <w:szCs w:val="22"/>
          <w:lang w:eastAsia="es-MX"/>
        </w:rPr>
        <w:t xml:space="preserve">Archivo </w:t>
      </w:r>
      <w:hyperlink r:id="rId8" w:history="1">
        <w:r w:rsidRPr="0063015D">
          <w:rPr>
            <w:rStyle w:val="Hipervnculo"/>
            <w:rFonts w:ascii="Palatino Linotype" w:hAnsi="Palatino Linotype" w:cs="Arial"/>
            <w:b/>
            <w:bCs/>
            <w:color w:val="67C19D"/>
            <w:sz w:val="22"/>
            <w:szCs w:val="22"/>
          </w:rPr>
          <w:t>Informe Justificado 0343-2018.pdf</w:t>
        </w:r>
      </w:hyperlink>
      <w:r w:rsidR="0063015D" w:rsidRPr="0063015D">
        <w:rPr>
          <w:rFonts w:ascii="Palatino Linotype" w:hAnsi="Palatino Linotype"/>
          <w:sz w:val="22"/>
          <w:szCs w:val="22"/>
        </w:rPr>
        <w:t xml:space="preserve"> contiene el informe justificado por medio del cual entre otras cosas el Titular de la Unidad de Transparencia refirió que  las manifestaciones vertidas por el imperante son inoperantes e improcedentes, lo anterior con base en lo establecido en los artículos 91 y 140 fracción VII de la Ley de Transparencia los instrumentos de evaluación que se aplican a los servidores públicos que participan en concursos escalafonarios a fin de acceder a una plaza de mayor  nivel salarial, son definidos por la Dirección General de Personal quién determina el método para realizar la evaluación del desempeño, mediante un proceso predefinido y ordenado de estimación cuantitativa y cualitativa del grado de eficiencia con el que las servidoras públicas y los servidores públicos llevan a cabo sus actividades y responsabilidades del puesto que desarrollan; lo que se lleva a cabo, a través de baterías de reactivos con los que se determina la viabilidad o no viabilidad para que el participante ocupe un puesto de mayor nivel salarial.</w:t>
      </w:r>
    </w:p>
    <w:p w:rsidR="007E3056" w:rsidRDefault="0063015D" w:rsidP="006333D8">
      <w:pPr>
        <w:pStyle w:val="Prrafodelista"/>
        <w:spacing w:line="360" w:lineRule="auto"/>
        <w:jc w:val="both"/>
        <w:rPr>
          <w:rFonts w:ascii="Palatino Linotype" w:hAnsi="Palatino Linotype"/>
          <w:sz w:val="22"/>
          <w:szCs w:val="22"/>
        </w:rPr>
      </w:pPr>
      <w:r w:rsidRPr="0063015D">
        <w:rPr>
          <w:rFonts w:ascii="Palatino Linotype" w:hAnsi="Palatino Linotype"/>
          <w:sz w:val="22"/>
          <w:szCs w:val="22"/>
        </w:rPr>
        <w:t xml:space="preserve">Asimismo, se debe hacer mención que el factor de preparación tiene el valor porcentual más alto y se valora con la documentación comprobatoria de estudios y con los exámenes teórico prácticos, por lo que de proporcionarse los instrumentos de </w:t>
      </w:r>
      <w:r w:rsidRPr="0063015D">
        <w:rPr>
          <w:rFonts w:ascii="Palatino Linotype" w:hAnsi="Palatino Linotype"/>
          <w:sz w:val="22"/>
          <w:szCs w:val="22"/>
        </w:rPr>
        <w:lastRenderedPageBreak/>
        <w:t>evaluación que se aplican a los servidores públicos que participan en concursos escalafonarios, se vulneraría la eficacia de los mismos.</w:t>
      </w:r>
    </w:p>
    <w:p w:rsidR="0063015D" w:rsidRPr="0063015D" w:rsidRDefault="0063015D" w:rsidP="006333D8">
      <w:pPr>
        <w:pStyle w:val="Prrafodelista"/>
        <w:spacing w:line="360" w:lineRule="auto"/>
        <w:jc w:val="both"/>
        <w:rPr>
          <w:rFonts w:ascii="Palatino Linotype" w:hAnsi="Palatino Linotype"/>
          <w:sz w:val="22"/>
          <w:szCs w:val="22"/>
        </w:rPr>
      </w:pPr>
    </w:p>
    <w:p w:rsidR="00596A30" w:rsidRDefault="007E3056" w:rsidP="006333D8">
      <w:pPr>
        <w:pStyle w:val="Prrafodelista"/>
        <w:numPr>
          <w:ilvl w:val="0"/>
          <w:numId w:val="6"/>
        </w:numPr>
        <w:spacing w:line="360" w:lineRule="auto"/>
        <w:jc w:val="both"/>
        <w:rPr>
          <w:rFonts w:ascii="Palatino Linotype" w:eastAsia="Times New Roman" w:hAnsi="Palatino Linotype" w:cs="Arial"/>
          <w:sz w:val="22"/>
          <w:szCs w:val="22"/>
          <w:lang w:val="es-MX" w:eastAsia="es-MX"/>
        </w:rPr>
      </w:pPr>
      <w:r w:rsidRPr="007E3056">
        <w:rPr>
          <w:rFonts w:ascii="Palatino Linotype" w:hAnsi="Palatino Linotype"/>
          <w:sz w:val="22"/>
          <w:szCs w:val="22"/>
        </w:rPr>
        <w:t xml:space="preserve">Archivo </w:t>
      </w:r>
      <w:hyperlink r:id="rId9" w:history="1">
        <w:r w:rsidRPr="007E3056">
          <w:rPr>
            <w:rFonts w:ascii="Palatino Linotype" w:eastAsia="Times New Roman" w:hAnsi="Palatino Linotype" w:cs="Arial"/>
            <w:b/>
            <w:bCs/>
            <w:color w:val="67C19D"/>
            <w:sz w:val="22"/>
            <w:szCs w:val="22"/>
            <w:lang w:eastAsia="es-MX"/>
          </w:rPr>
          <w:t>CT-2018-0113.pdf</w:t>
        </w:r>
      </w:hyperlink>
      <w:r w:rsidR="003839B9">
        <w:rPr>
          <w:rFonts w:ascii="Palatino Linotype" w:eastAsia="Times New Roman" w:hAnsi="Palatino Linotype" w:cs="Arial"/>
          <w:sz w:val="22"/>
          <w:szCs w:val="22"/>
          <w:lang w:eastAsia="es-MX"/>
        </w:rPr>
        <w:t xml:space="preserve"> contiene el acta número CT-2018-0113 de fecha veintiséis de septiembre del año en curso, por medio del cual el Comité de Transparencia del Sujeto Obligado aprobó </w:t>
      </w:r>
      <w:r w:rsidR="003839B9" w:rsidRPr="003839B9">
        <w:rPr>
          <w:rFonts w:ascii="Palatino Linotype" w:eastAsia="Times New Roman" w:hAnsi="Palatino Linotype" w:cs="Arial"/>
          <w:sz w:val="22"/>
          <w:szCs w:val="22"/>
          <w:lang w:val="es-MX" w:eastAsia="es-MX"/>
        </w:rPr>
        <w:t>la clasificación como reservada, por el término de 5 años, de la información contenida en los instrumentos de evaluación que se aplican a los servidores públicos que participan en concursos escalafonarios a fin de acceder a una plaza de mayor nivel salarial ; toda vez que el riesgo del perjuicio que supondría la divulgación de tal información, supera e interés público general de que se difunda.</w:t>
      </w:r>
    </w:p>
    <w:p w:rsidR="006333D8" w:rsidRPr="006333D8" w:rsidRDefault="006333D8" w:rsidP="006333D8">
      <w:pPr>
        <w:spacing w:line="360" w:lineRule="auto"/>
        <w:jc w:val="both"/>
        <w:rPr>
          <w:rFonts w:ascii="Palatino Linotype" w:eastAsia="Times New Roman" w:hAnsi="Palatino Linotype" w:cs="Arial"/>
          <w:lang w:eastAsia="es-MX"/>
        </w:rPr>
      </w:pPr>
    </w:p>
    <w:p w:rsidR="00596A30" w:rsidRPr="007913E6" w:rsidRDefault="00D126A9" w:rsidP="00F779C2">
      <w:pPr>
        <w:spacing w:before="120" w:line="360" w:lineRule="auto"/>
        <w:jc w:val="both"/>
        <w:rPr>
          <w:rFonts w:ascii="Palatino Linotype" w:hAnsi="Palatino Linotype" w:cs="Arial"/>
          <w:sz w:val="24"/>
          <w:szCs w:val="24"/>
          <w:lang w:val="es-ES_tradnl"/>
        </w:rPr>
      </w:pPr>
      <w:r w:rsidRPr="007913E6">
        <w:rPr>
          <w:rFonts w:ascii="Palatino Linotype" w:hAnsi="Palatino Linotype" w:cs="Arial"/>
          <w:sz w:val="24"/>
          <w:szCs w:val="24"/>
          <w:lang w:val="es-ES_tradnl"/>
        </w:rPr>
        <w:t>Cabe agregar que en fecha dos de octubre de la anualidad que transcurre se dio vista del informe justificado, con la finalidad de que la impetrante realizara las manifestaciones que estimara convenientes, sin embargo tal circunstancia no ocurrió.</w:t>
      </w:r>
    </w:p>
    <w:p w:rsidR="006333D8" w:rsidRPr="007913E6" w:rsidRDefault="00F779C2" w:rsidP="006333D8">
      <w:pPr>
        <w:spacing w:after="0" w:line="360" w:lineRule="auto"/>
        <w:jc w:val="both"/>
        <w:rPr>
          <w:rFonts w:ascii="Palatino Linotype" w:hAnsi="Palatino Linotype"/>
          <w:sz w:val="24"/>
          <w:szCs w:val="24"/>
        </w:rPr>
      </w:pPr>
      <w:r w:rsidRPr="007913E6">
        <w:rPr>
          <w:rFonts w:ascii="Palatino Linotype" w:hAnsi="Palatino Linotype" w:cs="Arial"/>
          <w:sz w:val="24"/>
          <w:szCs w:val="24"/>
          <w:lang w:val="es-ES_tradnl"/>
        </w:rPr>
        <w:t xml:space="preserve">Por lo que una vez sustanciado el medio de impugnación al rubro indicado, la Ponencia </w:t>
      </w:r>
      <w:r w:rsidR="006333D8" w:rsidRPr="007913E6">
        <w:rPr>
          <w:rFonts w:ascii="Palatino Linotype" w:hAnsi="Palatino Linotype"/>
          <w:sz w:val="24"/>
          <w:szCs w:val="24"/>
        </w:rPr>
        <w:t>determinó lo siguiente:</w:t>
      </w:r>
    </w:p>
    <w:p w:rsidR="006333D8" w:rsidRPr="007913E6" w:rsidRDefault="006333D8" w:rsidP="006333D8">
      <w:pPr>
        <w:spacing w:after="0" w:line="360" w:lineRule="auto"/>
        <w:ind w:left="851" w:right="851"/>
        <w:jc w:val="both"/>
        <w:rPr>
          <w:rFonts w:ascii="Palatino Linotype" w:eastAsia="Times New Roman" w:hAnsi="Palatino Linotype" w:cs="Arial"/>
          <w:b/>
          <w:lang w:val="es-ES_tradnl" w:eastAsia="es-ES"/>
        </w:rPr>
      </w:pPr>
    </w:p>
    <w:p w:rsidR="006333D8" w:rsidRPr="007913E6" w:rsidRDefault="006333D8" w:rsidP="006333D8">
      <w:pPr>
        <w:spacing w:after="0" w:line="360" w:lineRule="auto"/>
        <w:ind w:left="851" w:right="851"/>
        <w:jc w:val="both"/>
        <w:rPr>
          <w:rFonts w:ascii="Palatino Linotype" w:hAnsi="Palatino Linotype"/>
          <w:b/>
          <w:bCs/>
          <w:i/>
        </w:rPr>
      </w:pPr>
      <w:r w:rsidRPr="007913E6">
        <w:rPr>
          <w:rFonts w:ascii="Palatino Linotype" w:eastAsia="Times New Roman" w:hAnsi="Palatino Linotype" w:cs="Arial"/>
          <w:b/>
          <w:lang w:val="es-ES_tradnl" w:eastAsia="es-ES"/>
        </w:rPr>
        <w:t>“</w:t>
      </w:r>
      <w:r w:rsidRPr="007913E6">
        <w:rPr>
          <w:rFonts w:ascii="Palatino Linotype" w:hAnsi="Palatino Linotype"/>
          <w:b/>
          <w:bCs/>
          <w:i/>
        </w:rPr>
        <w:t>…</w:t>
      </w:r>
    </w:p>
    <w:p w:rsidR="006333D8" w:rsidRPr="007913E6" w:rsidRDefault="006333D8" w:rsidP="006333D8">
      <w:pPr>
        <w:spacing w:after="0" w:line="240" w:lineRule="auto"/>
        <w:ind w:left="851" w:right="851"/>
        <w:jc w:val="both"/>
        <w:rPr>
          <w:rFonts w:ascii="Palatino Linotype" w:hAnsi="Palatino Linotype"/>
          <w:i/>
          <w:lang w:val="es-ES"/>
        </w:rPr>
      </w:pPr>
      <w:r w:rsidRPr="007913E6">
        <w:rPr>
          <w:rFonts w:ascii="Palatino Linotype" w:hAnsi="Palatino Linotype"/>
          <w:b/>
          <w:i/>
          <w:lang w:val="es-ES"/>
        </w:rPr>
        <w:t xml:space="preserve">PRIMERO. </w:t>
      </w:r>
      <w:r w:rsidRPr="007913E6">
        <w:rPr>
          <w:rFonts w:ascii="Palatino Linotype" w:hAnsi="Palatino Linotype"/>
          <w:i/>
          <w:lang w:val="es-ES"/>
        </w:rPr>
        <w:t xml:space="preserve">Se </w:t>
      </w:r>
      <w:r w:rsidRPr="007913E6">
        <w:rPr>
          <w:rFonts w:ascii="Palatino Linotype" w:hAnsi="Palatino Linotype"/>
          <w:b/>
          <w:i/>
          <w:lang w:val="es-ES"/>
        </w:rPr>
        <w:t>SOBRESEE</w:t>
      </w:r>
      <w:r w:rsidRPr="007913E6">
        <w:rPr>
          <w:rFonts w:ascii="Palatino Linotype" w:hAnsi="Palatino Linotype"/>
          <w:i/>
          <w:lang w:val="es-ES"/>
        </w:rPr>
        <w:t xml:space="preserve"> el recurso de revisión número 03431/INFOEM/IP/RR/2018, </w:t>
      </w:r>
      <w:r w:rsidRPr="007913E6">
        <w:rPr>
          <w:rFonts w:ascii="Palatino Linotype" w:hAnsi="Palatino Linotype"/>
          <w:b/>
          <w:i/>
          <w:lang w:val="es-ES"/>
        </w:rPr>
        <w:t>por quedarse sin materia</w:t>
      </w:r>
      <w:r w:rsidRPr="007913E6">
        <w:rPr>
          <w:rFonts w:ascii="Palatino Linotype" w:hAnsi="Palatino Linotype"/>
          <w:i/>
          <w:lang w:val="es-ES"/>
        </w:rPr>
        <w:t>, términos del Considerando TERCERO de la presente resolución.</w:t>
      </w:r>
    </w:p>
    <w:p w:rsidR="006333D8" w:rsidRPr="007913E6" w:rsidRDefault="006333D8" w:rsidP="006333D8">
      <w:pPr>
        <w:spacing w:after="0" w:line="240" w:lineRule="auto"/>
        <w:ind w:left="851" w:right="851"/>
        <w:jc w:val="both"/>
        <w:rPr>
          <w:rFonts w:ascii="Palatino Linotype" w:hAnsi="Palatino Linotype"/>
          <w:i/>
          <w:lang w:val="es-ES"/>
        </w:rPr>
      </w:pPr>
      <w:r w:rsidRPr="007913E6">
        <w:rPr>
          <w:rFonts w:ascii="Palatino Linotype" w:hAnsi="Palatino Linotype"/>
          <w:i/>
        </w:rPr>
        <w:t>…</w:t>
      </w:r>
    </w:p>
    <w:p w:rsidR="006333D8" w:rsidRPr="007913E6" w:rsidRDefault="006333D8" w:rsidP="006333D8">
      <w:pPr>
        <w:spacing w:after="0" w:line="240" w:lineRule="auto"/>
        <w:ind w:left="851" w:right="851"/>
        <w:jc w:val="both"/>
        <w:rPr>
          <w:rFonts w:ascii="Palatino Linotype" w:hAnsi="Palatino Linotype"/>
          <w:i/>
          <w:lang w:val="es-ES"/>
        </w:rPr>
      </w:pPr>
    </w:p>
    <w:p w:rsidR="006333D8" w:rsidRPr="007913E6" w:rsidRDefault="006333D8" w:rsidP="006333D8">
      <w:pPr>
        <w:spacing w:after="0" w:line="240" w:lineRule="auto"/>
        <w:ind w:left="851" w:right="851"/>
        <w:jc w:val="both"/>
        <w:rPr>
          <w:rFonts w:ascii="Palatino Linotype" w:hAnsi="Palatino Linotype"/>
          <w:i/>
        </w:rPr>
      </w:pPr>
      <w:r w:rsidRPr="007913E6">
        <w:rPr>
          <w:rFonts w:ascii="Palatino Linotype" w:hAnsi="Palatino Linotype"/>
          <w:b/>
          <w:i/>
        </w:rPr>
        <w:lastRenderedPageBreak/>
        <w:t xml:space="preserve">CUARTO. </w:t>
      </w:r>
      <w:r w:rsidRPr="007913E6">
        <w:rPr>
          <w:rFonts w:ascii="Palatino Linotype" w:hAnsi="Palatino Linotype"/>
          <w:b/>
          <w:i/>
          <w:u w:val="single"/>
        </w:rPr>
        <w:t>Hágase del conocimiento de la Recurrente que</w:t>
      </w:r>
      <w:r w:rsidRPr="007913E6">
        <w:rPr>
          <w:rFonts w:ascii="Palatino Linotype" w:hAnsi="Palatino Linotype"/>
          <w:i/>
        </w:rPr>
        <w:t xml:space="preserve"> de conformidad con lo establecido en el artículo 196 de la Ley de Transparencia y Acceso a la Información Pública del Estado de México y Municipios </w:t>
      </w:r>
      <w:r w:rsidRPr="007913E6">
        <w:rPr>
          <w:rFonts w:ascii="Palatino Linotype" w:hAnsi="Palatino Linotype"/>
          <w:b/>
          <w:i/>
          <w:u w:val="single"/>
        </w:rPr>
        <w:t>podrá promover el Juicio de Amparo en los términos de las leyes aplicables</w:t>
      </w:r>
      <w:r w:rsidRPr="007913E6">
        <w:rPr>
          <w:rFonts w:ascii="Palatino Linotype" w:hAnsi="Palatino Linotype"/>
          <w:i/>
        </w:rPr>
        <w:t>.</w:t>
      </w:r>
    </w:p>
    <w:p w:rsidR="006333D8" w:rsidRPr="007913E6" w:rsidRDefault="006333D8" w:rsidP="006333D8">
      <w:pPr>
        <w:spacing w:after="0" w:line="360" w:lineRule="auto"/>
        <w:ind w:right="851"/>
        <w:jc w:val="both"/>
        <w:rPr>
          <w:rFonts w:ascii="Palatino Linotype" w:hAnsi="Palatino Linotype"/>
          <w:b/>
          <w:lang w:val="es-ES_tradnl"/>
        </w:rPr>
      </w:pPr>
    </w:p>
    <w:p w:rsidR="006333D8" w:rsidRPr="007913E6" w:rsidRDefault="006333D8" w:rsidP="006333D8">
      <w:pPr>
        <w:spacing w:after="0" w:line="360" w:lineRule="auto"/>
        <w:ind w:left="851" w:right="851"/>
        <w:jc w:val="both"/>
        <w:rPr>
          <w:rFonts w:ascii="Palatino Linotype" w:hAnsi="Palatino Linotype"/>
          <w:b/>
        </w:rPr>
      </w:pPr>
      <w:r w:rsidRPr="007913E6">
        <w:rPr>
          <w:rFonts w:ascii="Palatino Linotype" w:hAnsi="Palatino Linotype"/>
          <w:b/>
          <w:lang w:val="es-ES_tradnl"/>
        </w:rPr>
        <w:t>Énfasis añadido.</w:t>
      </w:r>
    </w:p>
    <w:p w:rsidR="006333D8" w:rsidRPr="007913E6" w:rsidRDefault="006333D8" w:rsidP="006333D8">
      <w:pPr>
        <w:spacing w:before="240" w:line="360" w:lineRule="auto"/>
        <w:contextualSpacing/>
        <w:jc w:val="both"/>
        <w:rPr>
          <w:rFonts w:ascii="Palatino Linotype" w:hAnsi="Palatino Linotype"/>
          <w:sz w:val="24"/>
          <w:szCs w:val="24"/>
        </w:rPr>
      </w:pPr>
    </w:p>
    <w:p w:rsidR="006333D8" w:rsidRPr="007913E6" w:rsidRDefault="006333D8" w:rsidP="006333D8">
      <w:pPr>
        <w:spacing w:before="240" w:line="360" w:lineRule="auto"/>
        <w:contextualSpacing/>
        <w:jc w:val="both"/>
        <w:rPr>
          <w:rFonts w:ascii="Palatino Linotype" w:hAnsi="Palatino Linotype"/>
          <w:sz w:val="24"/>
          <w:szCs w:val="24"/>
        </w:rPr>
      </w:pPr>
      <w:r w:rsidRPr="007913E6">
        <w:rPr>
          <w:rFonts w:ascii="Palatino Linotype" w:hAnsi="Palatino Linotype"/>
          <w:sz w:val="24"/>
          <w:szCs w:val="24"/>
        </w:rPr>
        <w:t xml:space="preserve">De lo anterior, debe precisarse que si bien se comparte en términos generales el sentido de la resolución, empero a consideración del suscrito </w:t>
      </w:r>
      <w:r w:rsidRPr="007913E6">
        <w:rPr>
          <w:rFonts w:ascii="Palatino Linotype" w:hAnsi="Palatino Linotype" w:cs="Arial"/>
          <w:bCs/>
          <w:sz w:val="24"/>
          <w:szCs w:val="24"/>
        </w:rPr>
        <w:t xml:space="preserve">en el resolutivo CUARTO </w:t>
      </w:r>
      <w:r w:rsidRPr="007913E6">
        <w:rPr>
          <w:rFonts w:ascii="Palatino Linotype" w:hAnsi="Palatino Linotype"/>
          <w:color w:val="222222"/>
          <w:sz w:val="24"/>
          <w:szCs w:val="24"/>
          <w:lang w:eastAsia="es-ES_tradnl"/>
        </w:rPr>
        <w:t xml:space="preserve">debió  fundamentarse en lo previsto en los artículos 159 y 160 de la Ley General de Transparencia y Acceso a la Información Pública, es decir, se le debió notificar al particular que podía </w:t>
      </w:r>
      <w:r w:rsidRPr="007913E6">
        <w:rPr>
          <w:rFonts w:ascii="Palatino Linotype" w:hAnsi="Palatino Linotype"/>
          <w:sz w:val="24"/>
          <w:szCs w:val="24"/>
        </w:rPr>
        <w:t>impugnar la resolución vía recurso de inconformidad ante el Instituto Nacional de Transparencia, Acceso a la Información y Protección de Datos Personales</w:t>
      </w:r>
      <w:r w:rsidRPr="007913E6">
        <w:rPr>
          <w:rFonts w:ascii="Palatino Linotype" w:hAnsi="Palatino Linotype"/>
          <w:color w:val="222222"/>
          <w:sz w:val="24"/>
          <w:szCs w:val="24"/>
          <w:lang w:eastAsia="es-ES_tradnl"/>
        </w:rPr>
        <w:t>.</w:t>
      </w:r>
    </w:p>
    <w:p w:rsidR="006333D8" w:rsidRPr="007913E6" w:rsidRDefault="006333D8" w:rsidP="006333D8">
      <w:pPr>
        <w:spacing w:before="240" w:line="360" w:lineRule="auto"/>
        <w:contextualSpacing/>
        <w:jc w:val="both"/>
        <w:rPr>
          <w:rFonts w:ascii="Palatino Linotype" w:hAnsi="Palatino Linotype" w:cs="Arial"/>
          <w:sz w:val="24"/>
          <w:szCs w:val="24"/>
        </w:rPr>
      </w:pPr>
      <w:r w:rsidRPr="007913E6">
        <w:rPr>
          <w:rFonts w:ascii="Palatino Linotype" w:hAnsi="Palatino Linotype"/>
          <w:color w:val="222222"/>
          <w:sz w:val="24"/>
          <w:szCs w:val="24"/>
          <w:lang w:eastAsia="es-ES_tradnl"/>
        </w:rPr>
        <w:t xml:space="preserve">Lo anterior es así toda vez que </w:t>
      </w:r>
      <w:r w:rsidR="00961C43" w:rsidRPr="007913E6">
        <w:rPr>
          <w:rFonts w:ascii="Palatino Linotype" w:hAnsi="Palatino Linotype"/>
          <w:color w:val="222222"/>
          <w:sz w:val="24"/>
          <w:szCs w:val="24"/>
          <w:lang w:eastAsia="es-ES_tradnl"/>
        </w:rPr>
        <w:t>no se debe perder de vista que</w:t>
      </w:r>
      <w:r w:rsidRPr="007913E6">
        <w:rPr>
          <w:rFonts w:ascii="Palatino Linotype" w:hAnsi="Palatino Linotype"/>
          <w:color w:val="222222"/>
          <w:sz w:val="24"/>
          <w:szCs w:val="24"/>
          <w:lang w:eastAsia="es-ES_tradnl"/>
        </w:rPr>
        <w:t xml:space="preserve"> el Sujeto Obligado al momento de emitir respuesta, en términos generales refirió </w:t>
      </w:r>
      <w:r w:rsidRPr="007913E6">
        <w:rPr>
          <w:rFonts w:ascii="Palatino Linotype" w:hAnsi="Palatino Linotype"/>
          <w:bCs/>
          <w:color w:val="222222"/>
          <w:sz w:val="24"/>
          <w:szCs w:val="24"/>
          <w:lang w:eastAsia="es-ES_tradnl"/>
        </w:rPr>
        <w:t xml:space="preserve">que la información solicitada </w:t>
      </w:r>
      <w:r w:rsidRPr="007913E6">
        <w:rPr>
          <w:rFonts w:ascii="Palatino Linotype" w:hAnsi="Palatino Linotype" w:cs="Arial"/>
          <w:b/>
          <w:sz w:val="24"/>
          <w:szCs w:val="24"/>
        </w:rPr>
        <w:t>fue clasificada como reservada</w:t>
      </w:r>
      <w:r w:rsidRPr="007913E6">
        <w:rPr>
          <w:rFonts w:ascii="Palatino Linotype" w:hAnsi="Palatino Linotype" w:cs="Arial"/>
          <w:sz w:val="24"/>
          <w:szCs w:val="24"/>
        </w:rPr>
        <w:t>, por actualizarse la causal prevista en la fracción VII del artículo 140 de la Ley de Transparencia vigente en la entidad federativa</w:t>
      </w:r>
      <w:r w:rsidR="00961C43" w:rsidRPr="007913E6">
        <w:rPr>
          <w:rFonts w:ascii="Palatino Linotype" w:hAnsi="Palatino Linotype" w:cs="Arial"/>
          <w:sz w:val="24"/>
          <w:szCs w:val="24"/>
        </w:rPr>
        <w:t>, mientras que al rendir informe justificado adjunto el acuerdo emitido por el Comité de Transparencia en el cual precisó las circunstancias de hecho y derecho que tomó en cuenta para emitir el acuerdo en mención, mismo que fue hecho del conocimiento del impetrante el dos de octubre de dos mil ocho, por considerar que modificaba la respuesta</w:t>
      </w:r>
      <w:r w:rsidR="007913E6" w:rsidRPr="007913E6">
        <w:rPr>
          <w:rFonts w:ascii="Palatino Linotype" w:hAnsi="Palatino Linotype" w:cs="Arial"/>
          <w:sz w:val="24"/>
          <w:szCs w:val="24"/>
        </w:rPr>
        <w:t xml:space="preserve">, con lo anterior a consideración del suscrito se está </w:t>
      </w:r>
      <w:r w:rsidR="007913E6" w:rsidRPr="007913E6">
        <w:rPr>
          <w:rFonts w:ascii="Palatino Linotype" w:hAnsi="Palatino Linotype" w:cs="Arial"/>
          <w:sz w:val="24"/>
          <w:szCs w:val="24"/>
        </w:rPr>
        <w:lastRenderedPageBreak/>
        <w:t xml:space="preserve">confirmando el acuerdo de clasificación correspondiente, motivo por el cual, </w:t>
      </w:r>
      <w:r w:rsidRPr="007913E6">
        <w:rPr>
          <w:rFonts w:ascii="Palatino Linotype" w:hAnsi="Palatino Linotype" w:cs="Arial"/>
          <w:sz w:val="24"/>
          <w:szCs w:val="24"/>
        </w:rPr>
        <w:t>a partir de la interpretación</w:t>
      </w:r>
      <w:r w:rsidRPr="007913E6">
        <w:rPr>
          <w:rStyle w:val="Refdenotaalpie"/>
          <w:rFonts w:ascii="Palatino Linotype" w:hAnsi="Palatino Linotype" w:cs="Arial"/>
          <w:sz w:val="24"/>
          <w:szCs w:val="24"/>
        </w:rPr>
        <w:footnoteReference w:id="1"/>
      </w:r>
      <w:r w:rsidRPr="007913E6">
        <w:rPr>
          <w:rFonts w:ascii="Palatino Linotype" w:hAnsi="Palatino Linotype" w:cs="Arial"/>
          <w:sz w:val="24"/>
          <w:szCs w:val="24"/>
        </w:rPr>
        <w:t xml:space="preserve"> a los artículos 159 y 160 de la Ley General de Transparencia y Acceso a la Información Pública que son de la literalidad siguiente:</w:t>
      </w:r>
    </w:p>
    <w:p w:rsidR="006333D8" w:rsidRPr="007913E6" w:rsidRDefault="006333D8" w:rsidP="006333D8">
      <w:pPr>
        <w:ind w:left="851" w:right="902"/>
        <w:jc w:val="both"/>
        <w:rPr>
          <w:rFonts w:ascii="Palatino Linotype" w:hAnsi="Palatino Linotype" w:cs="Arial"/>
          <w:i/>
        </w:rPr>
      </w:pPr>
      <w:r w:rsidRPr="007913E6">
        <w:rPr>
          <w:rFonts w:ascii="Palatino Linotype" w:hAnsi="Palatino Linotype" w:cs="Arial"/>
          <w:b/>
          <w:i/>
        </w:rPr>
        <w:t xml:space="preserve">“Artículo 159. </w:t>
      </w:r>
      <w:r w:rsidRPr="007913E6">
        <w:rPr>
          <w:rFonts w:ascii="Palatino Linotype" w:hAnsi="Palatino Linotype" w:cs="Arial"/>
          <w:b/>
          <w:i/>
          <w:u w:val="single"/>
        </w:rPr>
        <w:t>Tratándose de las resoluciones a los recursos de revisión de los Organismos garantes de las Entidades Federativas, los particulares podrán optar por acudir ante el Instituto</w:t>
      </w:r>
      <w:r w:rsidRPr="007913E6">
        <w:rPr>
          <w:rFonts w:ascii="Palatino Linotype" w:hAnsi="Palatino Linotype" w:cs="Arial"/>
          <w:i/>
        </w:rPr>
        <w:t xml:space="preserve"> o ante el Poder Judicial de la Federación.”</w:t>
      </w:r>
    </w:p>
    <w:p w:rsidR="006333D8" w:rsidRPr="007913E6" w:rsidRDefault="006333D8" w:rsidP="006333D8">
      <w:pPr>
        <w:ind w:left="851" w:right="902"/>
        <w:jc w:val="both"/>
        <w:rPr>
          <w:rFonts w:ascii="Palatino Linotype" w:hAnsi="Palatino Linotype" w:cs="Arial"/>
          <w:i/>
        </w:rPr>
      </w:pPr>
      <w:r w:rsidRPr="007913E6">
        <w:rPr>
          <w:rFonts w:ascii="Palatino Linotype" w:hAnsi="Palatino Linotype" w:cs="Arial"/>
          <w:b/>
          <w:i/>
        </w:rPr>
        <w:t>“Artículo 160.</w:t>
      </w:r>
      <w:r w:rsidRPr="007913E6">
        <w:rPr>
          <w:rFonts w:ascii="Palatino Linotype" w:hAnsi="Palatino Linotype" w:cs="Arial"/>
          <w:i/>
        </w:rPr>
        <w:t xml:space="preserve"> El recurso de inconformidad procede contra las resoluciones emitidas por los Organismos garantes de las Entidades Federativas que:</w:t>
      </w:r>
    </w:p>
    <w:p w:rsidR="006333D8" w:rsidRPr="007913E6" w:rsidRDefault="006333D8" w:rsidP="006333D8">
      <w:pPr>
        <w:ind w:left="851" w:right="902"/>
        <w:jc w:val="both"/>
        <w:rPr>
          <w:rFonts w:ascii="Palatino Linotype" w:hAnsi="Palatino Linotype" w:cs="Arial"/>
          <w:i/>
        </w:rPr>
      </w:pPr>
      <w:r w:rsidRPr="007913E6">
        <w:rPr>
          <w:rFonts w:ascii="Palatino Linotype" w:hAnsi="Palatino Linotype" w:cs="Arial"/>
          <w:b/>
          <w:i/>
        </w:rPr>
        <w:t>I.</w:t>
      </w:r>
      <w:r w:rsidRPr="007913E6">
        <w:rPr>
          <w:rFonts w:ascii="Palatino Linotype" w:hAnsi="Palatino Linotype" w:cs="Arial"/>
          <w:i/>
        </w:rPr>
        <w:t xml:space="preserve"> </w:t>
      </w:r>
      <w:r w:rsidRPr="007913E6">
        <w:rPr>
          <w:rFonts w:ascii="Palatino Linotype" w:hAnsi="Palatino Linotype" w:cs="Arial"/>
          <w:b/>
          <w:i/>
          <w:u w:val="single"/>
        </w:rPr>
        <w:t>Confirmen</w:t>
      </w:r>
      <w:r w:rsidRPr="007913E6">
        <w:rPr>
          <w:rFonts w:ascii="Palatino Linotype" w:hAnsi="Palatino Linotype" w:cs="Arial"/>
          <w:i/>
        </w:rPr>
        <w:t xml:space="preserve"> o modifiquen </w:t>
      </w:r>
      <w:r w:rsidRPr="007913E6">
        <w:rPr>
          <w:rFonts w:ascii="Palatino Linotype" w:hAnsi="Palatino Linotype" w:cs="Arial"/>
          <w:b/>
          <w:i/>
          <w:u w:val="single"/>
        </w:rPr>
        <w:t>la clasificación de la información</w:t>
      </w:r>
      <w:r w:rsidRPr="007913E6">
        <w:rPr>
          <w:rFonts w:ascii="Palatino Linotype" w:hAnsi="Palatino Linotype" w:cs="Arial"/>
          <w:i/>
        </w:rPr>
        <w:t>, (…)”</w:t>
      </w:r>
    </w:p>
    <w:p w:rsidR="006333D8" w:rsidRPr="007913E6" w:rsidRDefault="006333D8" w:rsidP="006333D8">
      <w:pPr>
        <w:ind w:left="851" w:right="902"/>
        <w:jc w:val="both"/>
        <w:rPr>
          <w:rFonts w:ascii="Palatino Linotype" w:hAnsi="Palatino Linotype" w:cs="Arial"/>
          <w:i/>
        </w:rPr>
      </w:pPr>
      <w:r w:rsidRPr="007913E6">
        <w:rPr>
          <w:rFonts w:ascii="Palatino Linotype" w:hAnsi="Palatino Linotype" w:cs="Arial"/>
          <w:i/>
        </w:rPr>
        <w:t>Énfasis añadido.</w:t>
      </w:r>
    </w:p>
    <w:p w:rsidR="006333D8" w:rsidRPr="007913E6" w:rsidRDefault="006333D8" w:rsidP="006333D8">
      <w:pPr>
        <w:spacing w:before="240" w:after="240" w:line="360" w:lineRule="auto"/>
        <w:jc w:val="both"/>
        <w:rPr>
          <w:rFonts w:ascii="Palatino Linotype" w:hAnsi="Palatino Linotype"/>
          <w:sz w:val="24"/>
          <w:szCs w:val="24"/>
        </w:rPr>
      </w:pPr>
      <w:r w:rsidRPr="007913E6">
        <w:rPr>
          <w:rFonts w:ascii="Palatino Linotype" w:hAnsi="Palatino Linotype" w:cs="Arial"/>
          <w:sz w:val="24"/>
          <w:szCs w:val="24"/>
        </w:rPr>
        <w:t xml:space="preserve">Debió considerarse </w:t>
      </w:r>
      <w:r w:rsidRPr="007913E6">
        <w:rPr>
          <w:rFonts w:ascii="Palatino Linotype" w:hAnsi="Palatino Linotype"/>
          <w:sz w:val="24"/>
          <w:szCs w:val="24"/>
        </w:rPr>
        <w:t xml:space="preserve">notificar a la particular que podía acudir ante el Instituto Nacional de Transparencia, Acceso a la Información y Protección de Datos Personales </w:t>
      </w:r>
      <w:r w:rsidRPr="007913E6">
        <w:rPr>
          <w:rFonts w:ascii="Palatino Linotype" w:hAnsi="Palatino Linotype"/>
          <w:sz w:val="24"/>
          <w:szCs w:val="24"/>
        </w:rPr>
        <w:lastRenderedPageBreak/>
        <w:t xml:space="preserve">(INAI) o ante el Poder Judicial de la Federación para interponer recurso de inconformidad, </w:t>
      </w:r>
      <w:r w:rsidRPr="007913E6">
        <w:rPr>
          <w:rFonts w:ascii="Palatino Linotype" w:hAnsi="Palatino Linotype" w:cs="Arial"/>
          <w:sz w:val="24"/>
          <w:szCs w:val="24"/>
        </w:rPr>
        <w:t>favoreciendo con ello lo previsto en el artículo 1</w:t>
      </w:r>
      <w:r w:rsidRPr="007913E6">
        <w:rPr>
          <w:rStyle w:val="Refdenotaalpie"/>
          <w:rFonts w:ascii="Palatino Linotype" w:hAnsi="Palatino Linotype" w:cs="Arial"/>
          <w:sz w:val="24"/>
          <w:szCs w:val="24"/>
        </w:rPr>
        <w:footnoteReference w:id="2"/>
      </w:r>
      <w:r w:rsidRPr="007913E6">
        <w:rPr>
          <w:rFonts w:ascii="Palatino Linotype" w:hAnsi="Palatino Linotype" w:cs="Arial"/>
          <w:sz w:val="24"/>
          <w:szCs w:val="24"/>
        </w:rPr>
        <w:t xml:space="preserve"> de la Constitución Política de los Estados Unidos Mexicanos.</w:t>
      </w:r>
    </w:p>
    <w:p w:rsidR="006333D8" w:rsidRPr="007913E6" w:rsidRDefault="006333D8" w:rsidP="006333D8">
      <w:pPr>
        <w:spacing w:before="240" w:after="240" w:line="360" w:lineRule="auto"/>
        <w:jc w:val="both"/>
        <w:rPr>
          <w:rFonts w:ascii="Palatino Linotype" w:hAnsi="Palatino Linotype"/>
          <w:sz w:val="24"/>
          <w:szCs w:val="24"/>
        </w:rPr>
      </w:pPr>
      <w:r w:rsidRPr="007913E6">
        <w:rPr>
          <w:rFonts w:ascii="Palatino Linotype" w:hAnsi="Palatino Linotype"/>
          <w:sz w:val="24"/>
          <w:szCs w:val="24"/>
        </w:rPr>
        <w:t>En este sentido y para abundar en el tema conviene precisar que los particulares podrán interponer recurso de inconformidad ante el INAI o ante el Poder Judicial de la Federación dentro de los quince días posteriores a que se tuvo conocimiento de la resolución mediante el sistema electrónico que para tales efectos haya dispuesto el INAI o por escrito.</w:t>
      </w:r>
    </w:p>
    <w:p w:rsidR="006333D8" w:rsidRPr="007913E6" w:rsidRDefault="006333D8" w:rsidP="006333D8">
      <w:pPr>
        <w:spacing w:before="240" w:after="240" w:line="360" w:lineRule="auto"/>
        <w:jc w:val="both"/>
        <w:rPr>
          <w:rFonts w:ascii="Palatino Linotype" w:hAnsi="Palatino Linotype"/>
          <w:sz w:val="24"/>
          <w:szCs w:val="24"/>
        </w:rPr>
      </w:pPr>
      <w:r w:rsidRPr="007913E6">
        <w:rPr>
          <w:rFonts w:ascii="Palatino Linotype" w:hAnsi="Palatino Linotype"/>
          <w:sz w:val="24"/>
          <w:szCs w:val="24"/>
        </w:rPr>
        <w:t>Cabe considerar, que también se podrá presentar por escrito ante este Instituto, instancia que a su vez tiene la obligación de remitirlo al día siguiente de su recepción al Organismo Garante de la Entidad Federativa, acompañado de la resolución impugnada.</w:t>
      </w:r>
    </w:p>
    <w:p w:rsidR="006333D8" w:rsidRPr="007913E6" w:rsidRDefault="006333D8" w:rsidP="006333D8">
      <w:pPr>
        <w:spacing w:before="240" w:after="120" w:line="360" w:lineRule="auto"/>
        <w:jc w:val="both"/>
        <w:rPr>
          <w:rFonts w:ascii="Palatino Linotype" w:hAnsi="Palatino Linotype"/>
          <w:sz w:val="24"/>
          <w:szCs w:val="24"/>
        </w:rPr>
      </w:pPr>
      <w:r w:rsidRPr="007913E6">
        <w:rPr>
          <w:rFonts w:ascii="Palatino Linotype" w:hAnsi="Palatino Linotype"/>
          <w:sz w:val="24"/>
          <w:szCs w:val="24"/>
        </w:rPr>
        <w:lastRenderedPageBreak/>
        <w:t>Recurso de inconformidad, que deberá contener lo dispuesto en el artículo 162 de la Ley General de referencia, que reza de la siguiente forma:</w:t>
      </w:r>
    </w:p>
    <w:p w:rsidR="007913E6" w:rsidRDefault="007913E6" w:rsidP="006333D8">
      <w:pPr>
        <w:ind w:left="851" w:right="902"/>
        <w:jc w:val="both"/>
        <w:rPr>
          <w:rFonts w:ascii="Palatino Linotype" w:hAnsi="Palatino Linotype"/>
          <w:b/>
          <w:i/>
        </w:rPr>
      </w:pPr>
    </w:p>
    <w:p w:rsidR="006333D8" w:rsidRPr="007913E6" w:rsidRDefault="006333D8" w:rsidP="006333D8">
      <w:pPr>
        <w:ind w:left="851" w:right="902"/>
        <w:jc w:val="both"/>
        <w:rPr>
          <w:rFonts w:ascii="Palatino Linotype" w:hAnsi="Palatino Linotype"/>
          <w:i/>
        </w:rPr>
      </w:pPr>
      <w:r w:rsidRPr="007913E6">
        <w:rPr>
          <w:rFonts w:ascii="Palatino Linotype" w:hAnsi="Palatino Linotype"/>
          <w:b/>
          <w:i/>
        </w:rPr>
        <w:t>“Artículo 162.</w:t>
      </w:r>
      <w:r w:rsidRPr="007913E6">
        <w:rPr>
          <w:rFonts w:ascii="Palatino Linotype" w:hAnsi="Palatino Linotype"/>
          <w:i/>
        </w:rPr>
        <w:t xml:space="preserve"> El recurso de inconformidad deberá contener:  </w:t>
      </w:r>
    </w:p>
    <w:p w:rsidR="006333D8" w:rsidRPr="007913E6" w:rsidRDefault="006333D8" w:rsidP="006333D8">
      <w:pPr>
        <w:ind w:left="1134" w:right="902"/>
        <w:jc w:val="both"/>
        <w:rPr>
          <w:rFonts w:ascii="Palatino Linotype" w:hAnsi="Palatino Linotype"/>
          <w:i/>
        </w:rPr>
      </w:pPr>
      <w:r w:rsidRPr="007913E6">
        <w:rPr>
          <w:rFonts w:ascii="Palatino Linotype" w:hAnsi="Palatino Linotype"/>
          <w:i/>
        </w:rPr>
        <w:t xml:space="preserve">I. El sujeto obligado ante el cual se presentó la solicitud;  </w:t>
      </w:r>
    </w:p>
    <w:p w:rsidR="006333D8" w:rsidRPr="007913E6" w:rsidRDefault="006333D8" w:rsidP="006333D8">
      <w:pPr>
        <w:ind w:left="1134" w:right="902"/>
        <w:jc w:val="both"/>
        <w:rPr>
          <w:rFonts w:ascii="Palatino Linotype" w:hAnsi="Palatino Linotype"/>
          <w:i/>
        </w:rPr>
      </w:pPr>
      <w:r w:rsidRPr="007913E6">
        <w:rPr>
          <w:rFonts w:ascii="Palatino Linotype" w:hAnsi="Palatino Linotype"/>
          <w:i/>
        </w:rPr>
        <w:t xml:space="preserve">II. El número de la resolución del recurso de revisión de la resolución impugnada;  </w:t>
      </w:r>
    </w:p>
    <w:p w:rsidR="006333D8" w:rsidRPr="007913E6" w:rsidRDefault="006333D8" w:rsidP="006333D8">
      <w:pPr>
        <w:ind w:left="1134" w:right="902"/>
        <w:jc w:val="both"/>
        <w:rPr>
          <w:rFonts w:ascii="Palatino Linotype" w:hAnsi="Palatino Linotype"/>
          <w:i/>
        </w:rPr>
      </w:pPr>
      <w:r w:rsidRPr="007913E6">
        <w:rPr>
          <w:rFonts w:ascii="Palatino Linotype" w:hAnsi="Palatino Linotype"/>
          <w:i/>
        </w:rPr>
        <w:t xml:space="preserve">III. El organismo garante que emitió la resolución que se impugna;  </w:t>
      </w:r>
    </w:p>
    <w:p w:rsidR="006333D8" w:rsidRPr="007913E6" w:rsidRDefault="006333D8" w:rsidP="006333D8">
      <w:pPr>
        <w:ind w:left="1134" w:right="902"/>
        <w:jc w:val="both"/>
        <w:rPr>
          <w:rFonts w:ascii="Palatino Linotype" w:hAnsi="Palatino Linotype"/>
          <w:i/>
        </w:rPr>
      </w:pPr>
      <w:r w:rsidRPr="007913E6">
        <w:rPr>
          <w:rFonts w:ascii="Palatino Linotype" w:hAnsi="Palatino Linotype"/>
          <w:i/>
        </w:rPr>
        <w:t xml:space="preserve">IV. El nombre del inconforme y, en su caso, del tercero interesado, así como las correspondientes direcciones o medios para recibir notificaciones;  </w:t>
      </w:r>
    </w:p>
    <w:p w:rsidR="006333D8" w:rsidRPr="007913E6" w:rsidRDefault="006333D8" w:rsidP="006333D8">
      <w:pPr>
        <w:ind w:left="1134" w:right="902"/>
        <w:jc w:val="both"/>
        <w:rPr>
          <w:rFonts w:ascii="Palatino Linotype" w:hAnsi="Palatino Linotype"/>
          <w:i/>
        </w:rPr>
      </w:pPr>
      <w:r w:rsidRPr="007913E6">
        <w:rPr>
          <w:rFonts w:ascii="Palatino Linotype" w:hAnsi="Palatino Linotype"/>
          <w:i/>
        </w:rPr>
        <w:t xml:space="preserve">V. La fecha en que fue notificada la resolución impugnada;  </w:t>
      </w:r>
    </w:p>
    <w:p w:rsidR="006333D8" w:rsidRPr="007913E6" w:rsidRDefault="006333D8" w:rsidP="006333D8">
      <w:pPr>
        <w:ind w:left="1134" w:right="902"/>
        <w:jc w:val="both"/>
        <w:rPr>
          <w:rFonts w:ascii="Palatino Linotype" w:hAnsi="Palatino Linotype"/>
          <w:i/>
        </w:rPr>
      </w:pPr>
      <w:r w:rsidRPr="007913E6">
        <w:rPr>
          <w:rFonts w:ascii="Palatino Linotype" w:hAnsi="Palatino Linotype"/>
          <w:i/>
        </w:rPr>
        <w:t xml:space="preserve">VI. El acto que se recurre;  </w:t>
      </w:r>
    </w:p>
    <w:p w:rsidR="006333D8" w:rsidRPr="007913E6" w:rsidRDefault="006333D8" w:rsidP="006333D8">
      <w:pPr>
        <w:ind w:left="1134" w:right="902"/>
        <w:jc w:val="both"/>
        <w:rPr>
          <w:rFonts w:ascii="Palatino Linotype" w:hAnsi="Palatino Linotype"/>
          <w:i/>
        </w:rPr>
      </w:pPr>
      <w:r w:rsidRPr="007913E6">
        <w:rPr>
          <w:rFonts w:ascii="Palatino Linotype" w:hAnsi="Palatino Linotype"/>
          <w:i/>
        </w:rPr>
        <w:t xml:space="preserve">VII. Las razones o motivos de la inconformidad, y  </w:t>
      </w:r>
    </w:p>
    <w:p w:rsidR="006333D8" w:rsidRPr="007913E6" w:rsidRDefault="006333D8" w:rsidP="006333D8">
      <w:pPr>
        <w:ind w:left="1134" w:right="902"/>
        <w:jc w:val="both"/>
        <w:rPr>
          <w:rFonts w:ascii="Palatino Linotype" w:hAnsi="Palatino Linotype"/>
          <w:i/>
        </w:rPr>
      </w:pPr>
      <w:r w:rsidRPr="007913E6">
        <w:rPr>
          <w:rFonts w:ascii="Palatino Linotype" w:hAnsi="Palatino Linotype"/>
          <w:i/>
        </w:rPr>
        <w:t xml:space="preserve">VIII. La copia de la resolución que se impugna y, en su caso, de la notificación correspondiente.  </w:t>
      </w:r>
    </w:p>
    <w:p w:rsidR="006333D8" w:rsidRPr="007913E6" w:rsidRDefault="006333D8" w:rsidP="006333D8">
      <w:pPr>
        <w:ind w:left="851" w:right="902"/>
        <w:jc w:val="both"/>
        <w:rPr>
          <w:rFonts w:ascii="Palatino Linotype" w:hAnsi="Palatino Linotype"/>
          <w:i/>
        </w:rPr>
      </w:pPr>
      <w:r w:rsidRPr="007913E6">
        <w:rPr>
          <w:rFonts w:ascii="Palatino Linotype" w:hAnsi="Palatino Linotype"/>
          <w:i/>
        </w:rPr>
        <w:t>El recurrente podrá anexar las pruebas y demás elementos que considere procedentes someter a consideración del organismo garante.”</w:t>
      </w:r>
    </w:p>
    <w:p w:rsidR="007913E6" w:rsidRDefault="007913E6" w:rsidP="007913E6">
      <w:pPr>
        <w:spacing w:before="120" w:after="240" w:line="360" w:lineRule="auto"/>
        <w:jc w:val="both"/>
        <w:rPr>
          <w:rFonts w:ascii="Palatino Linotype" w:hAnsi="Palatino Linotype"/>
          <w:sz w:val="24"/>
          <w:szCs w:val="24"/>
        </w:rPr>
      </w:pPr>
    </w:p>
    <w:p w:rsidR="007913E6" w:rsidRPr="007913E6" w:rsidRDefault="006333D8" w:rsidP="007913E6">
      <w:pPr>
        <w:spacing w:before="120" w:after="240" w:line="360" w:lineRule="auto"/>
        <w:jc w:val="both"/>
        <w:rPr>
          <w:rFonts w:ascii="Palatino Linotype" w:hAnsi="Palatino Linotype"/>
          <w:sz w:val="24"/>
          <w:szCs w:val="24"/>
        </w:rPr>
      </w:pPr>
      <w:r w:rsidRPr="007913E6">
        <w:rPr>
          <w:rFonts w:ascii="Palatino Linotype" w:hAnsi="Palatino Linotype"/>
          <w:sz w:val="24"/>
          <w:szCs w:val="24"/>
        </w:rPr>
        <w:t>Por lo que concluyó diciendo, que a fin de salvaguardar el derecho de acceso a la información del particular, se le debió notif</w:t>
      </w:r>
      <w:r w:rsidR="007913E6" w:rsidRPr="007913E6">
        <w:rPr>
          <w:rFonts w:ascii="Palatino Linotype" w:hAnsi="Palatino Linotype"/>
          <w:sz w:val="24"/>
          <w:szCs w:val="24"/>
        </w:rPr>
        <w:t>icar mediante el resolutivo CUAR</w:t>
      </w:r>
      <w:r w:rsidRPr="007913E6">
        <w:rPr>
          <w:rFonts w:ascii="Palatino Linotype" w:hAnsi="Palatino Linotype"/>
          <w:sz w:val="24"/>
          <w:szCs w:val="24"/>
        </w:rPr>
        <w:t xml:space="preserve">TO que podía interponer recurso de inconformidad ante el Instituto Nacional de Transparencia, Acceso a la Información y Protección de Datos Personales (INAI) con </w:t>
      </w:r>
      <w:r w:rsidRPr="007913E6">
        <w:rPr>
          <w:rFonts w:ascii="Palatino Linotype" w:hAnsi="Palatino Linotype"/>
          <w:sz w:val="24"/>
          <w:szCs w:val="24"/>
        </w:rPr>
        <w:lastRenderedPageBreak/>
        <w:t>base en lo dispuesto en los artículos 196 de la Ley de Transparencia y Acceso a la Información Pública del Estado de México de México y Municipios, 159 y 160 de la Ley General de Transparencia y Acceso a la Información Pública.</w:t>
      </w:r>
    </w:p>
    <w:p w:rsidR="00F779C2" w:rsidRPr="007913E6" w:rsidRDefault="00F779C2" w:rsidP="007913E6">
      <w:pPr>
        <w:spacing w:before="120" w:after="240" w:line="360" w:lineRule="auto"/>
        <w:jc w:val="both"/>
        <w:rPr>
          <w:rFonts w:ascii="Palatino Linotype" w:hAnsi="Palatino Linotype"/>
        </w:rPr>
      </w:pPr>
      <w:r w:rsidRPr="00B51880">
        <w:rPr>
          <w:rFonts w:ascii="Palatino Linotype" w:hAnsi="Palatino Linotype"/>
          <w:sz w:val="24"/>
          <w:szCs w:val="24"/>
        </w:rPr>
        <w:t xml:space="preserve">Lo anterior, son razones suficientes para la </w:t>
      </w:r>
      <w:r>
        <w:rPr>
          <w:rFonts w:ascii="Palatino Linotype" w:hAnsi="Palatino Linotype"/>
          <w:sz w:val="24"/>
          <w:szCs w:val="24"/>
        </w:rPr>
        <w:t>emisión</w:t>
      </w:r>
      <w:r w:rsidRPr="00B51880">
        <w:rPr>
          <w:rFonts w:ascii="Palatino Linotype" w:hAnsi="Palatino Linotype"/>
          <w:sz w:val="24"/>
          <w:szCs w:val="24"/>
        </w:rPr>
        <w:t xml:space="preserve"> y presentación de</w:t>
      </w:r>
      <w:r>
        <w:rPr>
          <w:rFonts w:ascii="Palatino Linotype" w:hAnsi="Palatino Linotype"/>
          <w:sz w:val="24"/>
          <w:szCs w:val="24"/>
        </w:rPr>
        <w:t xml:space="preserve">l presente Voto Particular relacionado con la resolución del recurso de revisión referido. </w:t>
      </w:r>
    </w:p>
    <w:p w:rsidR="00F779C2" w:rsidRDefault="00F779C2" w:rsidP="00F779C2">
      <w:pPr>
        <w:spacing w:after="0" w:line="240" w:lineRule="auto"/>
        <w:jc w:val="center"/>
        <w:rPr>
          <w:rFonts w:ascii="Palatino Linotype" w:hAnsi="Palatino Linotype"/>
          <w:b/>
          <w:sz w:val="24"/>
          <w:szCs w:val="24"/>
        </w:rPr>
      </w:pPr>
    </w:p>
    <w:p w:rsidR="00F779C2" w:rsidRDefault="00F779C2" w:rsidP="00F779C2">
      <w:pPr>
        <w:spacing w:after="0" w:line="240" w:lineRule="auto"/>
        <w:jc w:val="center"/>
        <w:rPr>
          <w:rFonts w:ascii="Palatino Linotype" w:hAnsi="Palatino Linotype"/>
          <w:b/>
          <w:sz w:val="24"/>
          <w:szCs w:val="24"/>
        </w:rPr>
      </w:pPr>
    </w:p>
    <w:p w:rsidR="00F779C2" w:rsidRDefault="00F779C2" w:rsidP="00F779C2">
      <w:pPr>
        <w:spacing w:after="0" w:line="240" w:lineRule="auto"/>
        <w:jc w:val="center"/>
        <w:rPr>
          <w:rFonts w:ascii="Palatino Linotype" w:hAnsi="Palatino Linotype"/>
          <w:b/>
          <w:sz w:val="24"/>
          <w:szCs w:val="24"/>
        </w:rPr>
      </w:pPr>
    </w:p>
    <w:p w:rsidR="00F779C2" w:rsidRDefault="00F779C2" w:rsidP="00F779C2">
      <w:pPr>
        <w:spacing w:after="0" w:line="240" w:lineRule="auto"/>
        <w:jc w:val="center"/>
        <w:rPr>
          <w:rFonts w:ascii="Palatino Linotype" w:hAnsi="Palatino Linotype"/>
          <w:b/>
          <w:sz w:val="24"/>
          <w:szCs w:val="24"/>
        </w:rPr>
      </w:pPr>
    </w:p>
    <w:p w:rsidR="00F779C2" w:rsidRDefault="00F779C2" w:rsidP="00F779C2">
      <w:pPr>
        <w:spacing w:after="0" w:line="240" w:lineRule="auto"/>
        <w:jc w:val="center"/>
        <w:rPr>
          <w:rFonts w:ascii="Palatino Linotype" w:hAnsi="Palatino Linotype"/>
          <w:b/>
          <w:sz w:val="24"/>
          <w:szCs w:val="24"/>
        </w:rPr>
      </w:pPr>
    </w:p>
    <w:p w:rsidR="00F779C2" w:rsidRPr="00B51880" w:rsidRDefault="00F779C2" w:rsidP="00F779C2">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F779C2" w:rsidRDefault="00F779C2" w:rsidP="00F779C2">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p w:rsidR="00F779C2" w:rsidRPr="00D318C0" w:rsidRDefault="00F779C2" w:rsidP="00F779C2">
      <w:pPr>
        <w:spacing w:after="0" w:line="240" w:lineRule="auto"/>
        <w:jc w:val="center"/>
        <w:rPr>
          <w:rFonts w:ascii="Palatino Linotype" w:hAnsi="Palatino Linotype"/>
          <w:sz w:val="24"/>
          <w:szCs w:val="24"/>
        </w:rPr>
      </w:pPr>
    </w:p>
    <w:p w:rsidR="00F779C2" w:rsidRPr="00966EC6" w:rsidRDefault="00F779C2" w:rsidP="00F779C2">
      <w:pPr>
        <w:rPr>
          <w:rFonts w:ascii="Palatino Linotype" w:hAnsi="Palatino Linotype"/>
          <w:b/>
          <w:sz w:val="24"/>
          <w:szCs w:val="24"/>
        </w:rPr>
      </w:pPr>
    </w:p>
    <w:p w:rsidR="007372D8" w:rsidRDefault="007372D8"/>
    <w:sectPr w:rsidR="007372D8" w:rsidSect="007F0307">
      <w:headerReference w:type="even" r:id="rId10"/>
      <w:headerReference w:type="default" r:id="rId11"/>
      <w:footerReference w:type="default" r:id="rId12"/>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966" w:rsidRDefault="00023966" w:rsidP="00F779C2">
      <w:pPr>
        <w:spacing w:after="0" w:line="240" w:lineRule="auto"/>
      </w:pPr>
      <w:r>
        <w:separator/>
      </w:r>
    </w:p>
  </w:endnote>
  <w:endnote w:type="continuationSeparator" w:id="0">
    <w:p w:rsidR="00023966" w:rsidRDefault="00023966" w:rsidP="00F7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FA01D6"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F65A6">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F65A6">
      <w:rPr>
        <w:rFonts w:ascii="Arial" w:hAnsi="Arial" w:cs="Arial"/>
        <w:b/>
        <w:bCs/>
        <w:noProof/>
        <w:sz w:val="20"/>
        <w:szCs w:val="20"/>
      </w:rPr>
      <w:t>9</w:t>
    </w:r>
    <w:r w:rsidRPr="00986599">
      <w:rPr>
        <w:rFonts w:ascii="Arial" w:hAnsi="Arial" w:cs="Arial"/>
        <w:b/>
        <w:bCs/>
        <w:sz w:val="20"/>
        <w:szCs w:val="20"/>
      </w:rPr>
      <w:fldChar w:fldCharType="end"/>
    </w:r>
  </w:p>
  <w:p w:rsidR="007F0307" w:rsidRDefault="00023966" w:rsidP="007F0307">
    <w:pPr>
      <w:pStyle w:val="Piedepgina"/>
      <w:jc w:val="right"/>
    </w:pPr>
  </w:p>
  <w:p w:rsidR="003A7B43" w:rsidRDefault="00023966"/>
  <w:p w:rsidR="003A7B43" w:rsidRDefault="000239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966" w:rsidRDefault="00023966" w:rsidP="00F779C2">
      <w:pPr>
        <w:spacing w:after="0" w:line="240" w:lineRule="auto"/>
      </w:pPr>
      <w:r>
        <w:separator/>
      </w:r>
    </w:p>
  </w:footnote>
  <w:footnote w:type="continuationSeparator" w:id="0">
    <w:p w:rsidR="00023966" w:rsidRDefault="00023966" w:rsidP="00F779C2">
      <w:pPr>
        <w:spacing w:after="0" w:line="240" w:lineRule="auto"/>
      </w:pPr>
      <w:r>
        <w:continuationSeparator/>
      </w:r>
    </w:p>
  </w:footnote>
  <w:footnote w:id="1">
    <w:p w:rsidR="006333D8" w:rsidRPr="000838C6" w:rsidRDefault="006333D8" w:rsidP="006333D8">
      <w:pPr>
        <w:pStyle w:val="Textonotapie"/>
        <w:jc w:val="both"/>
        <w:rPr>
          <w:rFonts w:ascii="Palatino Linotype" w:hAnsi="Palatino Linotype"/>
          <w:i/>
          <w:sz w:val="16"/>
          <w:szCs w:val="16"/>
        </w:rPr>
      </w:pPr>
      <w:r>
        <w:rPr>
          <w:rStyle w:val="Refdenotaalpie"/>
        </w:rPr>
        <w:footnoteRef/>
      </w:r>
      <w:r>
        <w:t xml:space="preserve"> </w:t>
      </w:r>
      <w:r>
        <w:rPr>
          <w:rFonts w:ascii="Palatino Linotype" w:hAnsi="Palatino Linotype"/>
          <w:i/>
          <w:sz w:val="16"/>
          <w:szCs w:val="16"/>
        </w:rPr>
        <w:t xml:space="preserve">Cfr. </w:t>
      </w:r>
      <w:r w:rsidRPr="000838C6">
        <w:rPr>
          <w:rFonts w:ascii="Palatino Linotype" w:hAnsi="Palatino Linotype"/>
          <w:sz w:val="16"/>
          <w:szCs w:val="16"/>
        </w:rPr>
        <w:t xml:space="preserve">Tesis Aislada de la Décima Época P. II/2017 (10a.) </w:t>
      </w:r>
      <w:r w:rsidRPr="00845DA4">
        <w:rPr>
          <w:rFonts w:ascii="Palatino Linotype" w:hAnsi="Palatino Linotype"/>
          <w:i/>
          <w:sz w:val="16"/>
          <w:szCs w:val="16"/>
        </w:rPr>
        <w:t>INTERPRETACIÓN CONFORME. SUS ALCANCES EN RELACIÓN CON EL PRINCIPIO DE INTERPRETACIÓN MÁS FAVORABLE A LA PERSONA.</w:t>
      </w:r>
      <w:r>
        <w:rPr>
          <w:rFonts w:ascii="Palatino Linotype" w:hAnsi="Palatino Linotype"/>
          <w:i/>
          <w:sz w:val="16"/>
          <w:szCs w:val="16"/>
        </w:rPr>
        <w:t xml:space="preserve"> </w:t>
      </w:r>
      <w:r w:rsidRPr="00845DA4">
        <w:rPr>
          <w:rFonts w:ascii="Palatino Linotype" w:hAnsi="Palatino Linotype"/>
          <w:i/>
          <w:sz w:val="16"/>
          <w:szCs w:val="16"/>
        </w:rPr>
        <w:t>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inconvencional un precepto legal. En ese sentido, sólo cuando exista una clara incompatibilidad o contradicción que se torne insalvable entre una norma ordinaria y la Constitución Política de los Estados Unidos Mexicanos o algún instrumento internacional, se realizará una declaración de inconstitucionalidad o, en su caso, de inconvencionalidad;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w:t>
      </w:r>
      <w:r>
        <w:rPr>
          <w:rFonts w:ascii="Palatino Linotype" w:hAnsi="Palatino Linotype"/>
          <w:i/>
          <w:sz w:val="16"/>
          <w:szCs w:val="16"/>
        </w:rPr>
        <w:t>a y en todo caso a la sociedad.</w:t>
      </w:r>
    </w:p>
  </w:footnote>
  <w:footnote w:id="2">
    <w:p w:rsidR="006333D8" w:rsidRPr="00B02CB0" w:rsidRDefault="006333D8" w:rsidP="006333D8">
      <w:pPr>
        <w:pStyle w:val="Textonotapie"/>
        <w:jc w:val="both"/>
        <w:rPr>
          <w:rFonts w:ascii="Palatino Linotype" w:hAnsi="Palatino Linotype"/>
          <w:i/>
          <w:sz w:val="16"/>
          <w:szCs w:val="16"/>
        </w:rPr>
      </w:pPr>
      <w:r>
        <w:rPr>
          <w:rStyle w:val="Refdenotaalpie"/>
        </w:rPr>
        <w:footnoteRef/>
      </w:r>
      <w:r>
        <w:t xml:space="preserve"> </w:t>
      </w:r>
      <w:r w:rsidRPr="00B02CB0">
        <w:rPr>
          <w:rFonts w:ascii="Palatino Linotype" w:hAnsi="Palatino Linotype"/>
          <w:i/>
          <w:sz w:val="16"/>
          <w:szCs w:val="16"/>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w:t>
      </w:r>
      <w:r>
        <w:rPr>
          <w:rFonts w:ascii="Palatino Linotype" w:hAnsi="Palatino Linotype"/>
          <w:i/>
          <w:sz w:val="16"/>
          <w:szCs w:val="16"/>
        </w:rPr>
        <w:t xml:space="preserve">e esta Constitución establece. </w:t>
      </w:r>
      <w:r w:rsidRPr="00B02CB0">
        <w:rPr>
          <w:rFonts w:ascii="Palatino Linotype" w:hAnsi="Palatino Linotype"/>
          <w:i/>
          <w:sz w:val="16"/>
          <w:szCs w:val="16"/>
        </w:rPr>
        <w:t>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w:t>
      </w:r>
      <w:r>
        <w:rPr>
          <w:rFonts w:ascii="Palatino Linotype" w:hAnsi="Palatino Linotype"/>
          <w:i/>
          <w:sz w:val="16"/>
          <w:szCs w:val="16"/>
        </w:rPr>
        <w:t xml:space="preserve">érminos que establezca la ley. </w:t>
      </w:r>
      <w:r w:rsidRPr="00B02CB0">
        <w:rPr>
          <w:rFonts w:ascii="Palatino Linotype" w:hAnsi="Palatino Linotype"/>
          <w:i/>
          <w:sz w:val="16"/>
          <w:szCs w:val="16"/>
        </w:rPr>
        <w:t>Está prohibida la esclavitud en los Estados Unidos Mexicanos. Los esclavos del extranjero que entren al territorio nacional alcanzarán, por este solo hecho, su libertad</w:t>
      </w:r>
      <w:r>
        <w:rPr>
          <w:rFonts w:ascii="Palatino Linotype" w:hAnsi="Palatino Linotype"/>
          <w:i/>
          <w:sz w:val="16"/>
          <w:szCs w:val="16"/>
        </w:rPr>
        <w:t xml:space="preserve"> y la protección de las leyes. </w:t>
      </w:r>
      <w:r w:rsidRPr="00B02CB0">
        <w:rPr>
          <w:rFonts w:ascii="Palatino Linotype" w:hAnsi="Palatino Linotype"/>
          <w:i/>
          <w:sz w:val="16"/>
          <w:szCs w:val="16"/>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FA01D6">
    <w:pPr>
      <w:pStyle w:val="Encabezado"/>
    </w:pPr>
    <w:r>
      <w:rPr>
        <w:noProof/>
        <w:lang w:val="es-MX" w:eastAsia="es-MX"/>
      </w:rPr>
      <mc:AlternateContent>
        <mc:Choice Requires="wps">
          <w:drawing>
            <wp:anchor distT="0" distB="0" distL="114300" distR="114300" simplePos="0" relativeHeight="251656704" behindDoc="1" locked="0" layoutInCell="0" allowOverlap="1" wp14:anchorId="26BF154F" wp14:editId="0BA1363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FA01D6"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BF154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FA01D6"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023966"/>
  <w:p w:rsidR="003A7B43" w:rsidRDefault="000239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FA01D6"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42A8BC02" wp14:editId="5E417A22">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023966">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49"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023966" w:rsidP="007F0307">
    <w:pPr>
      <w:pStyle w:val="Encabezado"/>
      <w:jc w:val="right"/>
      <w:rPr>
        <w:rFonts w:ascii="Arial" w:hAnsi="Arial" w:cs="Arial"/>
        <w:sz w:val="20"/>
        <w:szCs w:val="20"/>
      </w:rPr>
    </w:pPr>
  </w:p>
  <w:p w:rsidR="007F0307" w:rsidRDefault="00023966" w:rsidP="007F0307">
    <w:pPr>
      <w:pStyle w:val="Encabezado"/>
      <w:jc w:val="right"/>
      <w:rPr>
        <w:rFonts w:ascii="Arial" w:hAnsi="Arial" w:cs="Arial"/>
        <w:sz w:val="20"/>
        <w:szCs w:val="20"/>
      </w:rPr>
    </w:pPr>
  </w:p>
  <w:p w:rsidR="007F0307" w:rsidRPr="00563D0F" w:rsidRDefault="00FA01D6"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FA01D6"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b/>
        <w:sz w:val="22"/>
        <w:szCs w:val="22"/>
        <w:lang w:val="es-ES_tradnl"/>
      </w:rPr>
      <w:t>0</w:t>
    </w:r>
    <w:r w:rsidR="00242DA9">
      <w:rPr>
        <w:rFonts w:ascii="Palatino Linotype" w:hAnsi="Palatino Linotype"/>
        <w:b/>
        <w:sz w:val="22"/>
        <w:szCs w:val="22"/>
        <w:lang w:val="es-ES_tradnl"/>
      </w:rPr>
      <w:t>3431</w:t>
    </w:r>
    <w:r>
      <w:rPr>
        <w:rFonts w:ascii="Palatino Linotype" w:hAnsi="Palatino Linotype"/>
        <w:b/>
        <w:sz w:val="22"/>
        <w:szCs w:val="22"/>
        <w:lang w:val="es-ES_tradnl"/>
      </w:rPr>
      <w:t>/INFOEM/IP/RR/2018.</w:t>
    </w:r>
  </w:p>
  <w:p w:rsidR="007F0307" w:rsidRDefault="00023966" w:rsidP="007F0307">
    <w:pPr>
      <w:pStyle w:val="Encabezado"/>
      <w:jc w:val="right"/>
      <w:rPr>
        <w:rFonts w:ascii="Palatino Linotype" w:hAnsi="Palatino Linotype" w:cs="Arial"/>
        <w:sz w:val="20"/>
        <w:szCs w:val="20"/>
      </w:rPr>
    </w:pPr>
  </w:p>
  <w:p w:rsidR="00D40FD0" w:rsidRDefault="00023966"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83CE1"/>
    <w:multiLevelType w:val="hybridMultilevel"/>
    <w:tmpl w:val="93F6C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9E19F6"/>
    <w:multiLevelType w:val="hybridMultilevel"/>
    <w:tmpl w:val="DBAC0F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A342F08"/>
    <w:multiLevelType w:val="hybridMultilevel"/>
    <w:tmpl w:val="20D60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5D6643C"/>
    <w:multiLevelType w:val="hybridMultilevel"/>
    <w:tmpl w:val="AD4EF9D0"/>
    <w:lvl w:ilvl="0" w:tplc="268E9C84">
      <w:start w:val="1"/>
      <w:numFmt w:val="lowerLetter"/>
      <w:lvlText w:val="%1)"/>
      <w:lvlJc w:val="left"/>
      <w:pPr>
        <w:ind w:left="1800" w:hanging="360"/>
      </w:pPr>
      <w:rPr>
        <w:rFonts w:ascii="Times New Roman" w:hAnsi="Times New Roman"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nsid w:val="493132DF"/>
    <w:multiLevelType w:val="hybridMultilevel"/>
    <w:tmpl w:val="B308EBF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FA33E4E"/>
    <w:multiLevelType w:val="hybridMultilevel"/>
    <w:tmpl w:val="FC781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C2"/>
    <w:rsid w:val="00023966"/>
    <w:rsid w:val="0007646E"/>
    <w:rsid w:val="00242DA9"/>
    <w:rsid w:val="00262DFA"/>
    <w:rsid w:val="003839B9"/>
    <w:rsid w:val="00596A30"/>
    <w:rsid w:val="0063015D"/>
    <w:rsid w:val="006333D8"/>
    <w:rsid w:val="007372D8"/>
    <w:rsid w:val="007913E6"/>
    <w:rsid w:val="007E3056"/>
    <w:rsid w:val="00961C43"/>
    <w:rsid w:val="00A579A1"/>
    <w:rsid w:val="00A76054"/>
    <w:rsid w:val="00D126A9"/>
    <w:rsid w:val="00F779C2"/>
    <w:rsid w:val="00FA01D6"/>
    <w:rsid w:val="00FF65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52FF60A-3004-497A-9C56-27054A15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9C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79C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79C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79C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79C2"/>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779C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F779C2"/>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F779C2"/>
    <w:rPr>
      <w:rFonts w:ascii="Times New Roman" w:eastAsia="Calibri"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779C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779C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rsid w:val="00F779C2"/>
    <w:rPr>
      <w:vertAlign w:val="superscript"/>
    </w:rPr>
  </w:style>
  <w:style w:type="character" w:styleId="Hipervnculo">
    <w:name w:val="Hyperlink"/>
    <w:basedOn w:val="Fuentedeprrafopredeter"/>
    <w:uiPriority w:val="99"/>
    <w:semiHidden/>
    <w:unhideWhenUsed/>
    <w:rsid w:val="007E3056"/>
    <w:rPr>
      <w:color w:val="0000FF"/>
      <w:u w:val="single"/>
    </w:rPr>
  </w:style>
  <w:style w:type="paragraph" w:styleId="Textodeglobo">
    <w:name w:val="Balloon Text"/>
    <w:basedOn w:val="Normal"/>
    <w:link w:val="TextodegloboCar"/>
    <w:uiPriority w:val="99"/>
    <w:semiHidden/>
    <w:unhideWhenUsed/>
    <w:rsid w:val="007913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3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6817">
      <w:bodyDiv w:val="1"/>
      <w:marLeft w:val="0"/>
      <w:marRight w:val="0"/>
      <w:marTop w:val="0"/>
      <w:marBottom w:val="0"/>
      <w:divBdr>
        <w:top w:val="none" w:sz="0" w:space="0" w:color="auto"/>
        <w:left w:val="none" w:sz="0" w:space="0" w:color="auto"/>
        <w:bottom w:val="none" w:sz="0" w:space="0" w:color="auto"/>
        <w:right w:val="none" w:sz="0" w:space="0" w:color="auto"/>
      </w:divBdr>
    </w:div>
    <w:div w:id="189999517">
      <w:bodyDiv w:val="1"/>
      <w:marLeft w:val="0"/>
      <w:marRight w:val="0"/>
      <w:marTop w:val="0"/>
      <w:marBottom w:val="0"/>
      <w:divBdr>
        <w:top w:val="none" w:sz="0" w:space="0" w:color="auto"/>
        <w:left w:val="none" w:sz="0" w:space="0" w:color="auto"/>
        <w:bottom w:val="none" w:sz="0" w:space="0" w:color="auto"/>
        <w:right w:val="none" w:sz="0" w:space="0" w:color="auto"/>
      </w:divBdr>
    </w:div>
    <w:div w:id="1246305171">
      <w:bodyDiv w:val="1"/>
      <w:marLeft w:val="0"/>
      <w:marRight w:val="0"/>
      <w:marTop w:val="0"/>
      <w:marBottom w:val="0"/>
      <w:divBdr>
        <w:top w:val="none" w:sz="0" w:space="0" w:color="auto"/>
        <w:left w:val="none" w:sz="0" w:space="0" w:color="auto"/>
        <w:bottom w:val="none" w:sz="0" w:space="0" w:color="auto"/>
        <w:right w:val="none" w:sz="0" w:space="0" w:color="auto"/>
      </w:divBdr>
    </w:div>
    <w:div w:id="1732147077">
      <w:bodyDiv w:val="1"/>
      <w:marLeft w:val="0"/>
      <w:marRight w:val="0"/>
      <w:marTop w:val="0"/>
      <w:marBottom w:val="0"/>
      <w:divBdr>
        <w:top w:val="none" w:sz="0" w:space="0" w:color="auto"/>
        <w:left w:val="none" w:sz="0" w:space="0" w:color="auto"/>
        <w:bottom w:val="none" w:sz="0" w:space="0" w:color="auto"/>
        <w:right w:val="none" w:sz="0" w:space="0" w:color="auto"/>
      </w:divBdr>
    </w:div>
    <w:div w:id="19729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6541.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586540.pag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586542.pag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1700</Words>
  <Characters>9355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2018-11-06T21:09:00Z</cp:lastPrinted>
  <dcterms:created xsi:type="dcterms:W3CDTF">2018-11-16T02:31:00Z</dcterms:created>
  <dcterms:modified xsi:type="dcterms:W3CDTF">2018-11-16T02:31:00Z</dcterms:modified>
</cp:coreProperties>
</file>